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200593</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highlight w:val="none"/>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Unified TCI for DL and UL</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highlight w:val="none"/>
        </w:rPr>
        <w:tab/>
      </w:r>
      <w:r>
        <w:rPr>
          <w:rFonts w:hint="eastAsia" w:eastAsia="宋体"/>
          <w:color w:val="auto"/>
          <w:sz w:val="24"/>
          <w:highlight w:val="none"/>
          <w:lang w:val="en-US" w:eastAsia="zh-CN"/>
        </w:rPr>
        <w:t>6.19.3.1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impact for unified TCI in FeMIMO was approved in [1]:</w:t>
      </w:r>
      <w:r>
        <w:rPr>
          <w:rFonts w:hint="default" w:eastAsia="宋体"/>
          <w:color w:val="auto"/>
          <w:sz w:val="21"/>
          <w:szCs w:val="21"/>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rPr>
                <w:rFonts w:hint="default" w:ascii="Times New Roman" w:hAnsi="Times New Roman" w:eastAsia="宋体" w:cs="Times New Roman"/>
                <w:b/>
                <w:bCs/>
                <w:color w:val="auto"/>
                <w:sz w:val="20"/>
                <w:szCs w:val="20"/>
                <w:lang w:val="en-US" w:eastAsia="ja-JP" w:bidi="ar-SA"/>
              </w:rPr>
            </w:pPr>
            <w:r>
              <w:rPr>
                <w:rFonts w:hint="default" w:ascii="Times New Roman" w:hAnsi="Times New Roman" w:eastAsia="宋体" w:cs="Times New Roman"/>
                <w:b/>
                <w:bCs/>
                <w:color w:val="auto"/>
                <w:sz w:val="20"/>
                <w:szCs w:val="20"/>
                <w:lang w:val="en-US" w:eastAsia="ja-JP" w:bidi="ar-SA"/>
              </w:rPr>
              <w:t>Define the following requirements</w:t>
            </w:r>
            <w:r>
              <w:rPr>
                <w:rFonts w:hint="eastAsia" w:ascii="Times New Roman" w:hAnsi="Times New Roman" w:eastAsia="宋体" w:cs="Times New Roman"/>
                <w:b/>
                <w:bCs/>
                <w:color w:val="auto"/>
                <w:sz w:val="20"/>
                <w:szCs w:val="20"/>
                <w:lang w:val="en-US" w:eastAsia="zh-CN" w:bidi="ar-SA"/>
              </w:rPr>
              <w:t xml:space="preserve"> (Agreed in GTW)</w:t>
            </w:r>
          </w:p>
          <w:p>
            <w:pPr>
              <w:numPr>
                <w:ilvl w:val="0"/>
                <w:numId w:val="4"/>
              </w:numPr>
              <w:ind w:left="840" w:leftChars="0" w:hanging="420" w:firstLineChars="0"/>
              <w:rPr>
                <w:rFonts w:hint="default"/>
                <w:lang w:val="en-US" w:eastAsia="ja-JP"/>
              </w:rPr>
            </w:pPr>
            <w:r>
              <w:rPr>
                <w:rFonts w:hint="default"/>
                <w:lang w:val="en-US" w:eastAsia="zh-CN"/>
              </w:rPr>
              <w:t>DCI and MAC-CE based TCI switching delay requirements</w:t>
            </w:r>
            <w:r>
              <w:rPr>
                <w:rFonts w:hint="eastAsia"/>
                <w:lang w:val="en-US" w:eastAsia="zh-CN"/>
              </w:rPr>
              <w:t xml:space="preserve"> </w:t>
            </w:r>
          </w:p>
          <w:p>
            <w:pPr>
              <w:numPr>
                <w:ilvl w:val="0"/>
                <w:numId w:val="4"/>
              </w:numPr>
              <w:ind w:left="840" w:leftChars="0" w:hanging="420" w:firstLineChars="0"/>
              <w:rPr>
                <w:rFonts w:hint="default"/>
                <w:lang w:val="en-US" w:eastAsia="ja-JP"/>
              </w:rPr>
            </w:pPr>
            <w:r>
              <w:rPr>
                <w:rFonts w:hint="default"/>
                <w:lang w:val="en-US" w:eastAsia="zh-CN"/>
              </w:rPr>
              <w:t>DL/UL TCI switching requirements for both joint TCI and separate TCI.</w:t>
            </w:r>
          </w:p>
          <w:p>
            <w:pPr>
              <w:numPr>
                <w:ilvl w:val="0"/>
                <w:numId w:val="4"/>
              </w:numPr>
              <w:ind w:left="840" w:leftChars="0" w:hanging="420" w:firstLineChars="0"/>
              <w:rPr>
                <w:rFonts w:hint="default"/>
                <w:lang w:val="en-US" w:eastAsia="ja-JP"/>
              </w:rPr>
            </w:pPr>
            <w:r>
              <w:rPr>
                <w:rFonts w:hint="default"/>
                <w:lang w:val="en-US" w:eastAsia="zh-CN"/>
              </w:rPr>
              <w:t>TCI switching delay requirements for the case when target TCI is associated with one of serving cell or non-serving cell (i.e., cell with different PCI)</w:t>
            </w:r>
          </w:p>
          <w:p>
            <w:pPr>
              <w:pStyle w:val="28"/>
              <w:keepNext w:val="0"/>
              <w:keepLines w:val="0"/>
              <w:pageBreakBefore w:val="0"/>
              <w:numPr>
                <w:ilvl w:val="0"/>
                <w:numId w:val="5"/>
              </w:numPr>
              <w:kinsoku/>
              <w:wordWrap/>
              <w:overflowPunct/>
              <w:topLinePunct w:val="0"/>
              <w:autoSpaceDE/>
              <w:autoSpaceDN/>
              <w:bidi w:val="0"/>
              <w:adjustRightInd/>
              <w:snapToGrid/>
              <w:ind w:left="1200" w:leftChars="0" w:hanging="360" w:firstLineChars="0"/>
              <w:textAlignment w:val="auto"/>
              <w:rPr>
                <w:rFonts w:hint="default" w:ascii="Times New Roman" w:hAnsi="Times New Roman" w:eastAsia="Times New Roman" w:cs="Times New Roman"/>
                <w:kern w:val="0"/>
                <w:sz w:val="20"/>
                <w:szCs w:val="24"/>
                <w:lang w:val="en-US" w:eastAsia="ja-JP" w:bidi="ar-SA"/>
              </w:rPr>
            </w:pPr>
            <w:r>
              <w:rPr>
                <w:rFonts w:hint="default" w:ascii="Times New Roman" w:hAnsi="Times New Roman" w:eastAsia="Times New Roman" w:cs="Times New Roman"/>
                <w:kern w:val="0"/>
                <w:sz w:val="20"/>
                <w:szCs w:val="24"/>
                <w:lang w:val="en-US" w:eastAsia="zh-CN" w:bidi="ar-SA"/>
              </w:rPr>
              <w:t>Define requirements at least for Rel-17 TCI state switching framework</w:t>
            </w:r>
          </w:p>
          <w:p>
            <w:pPr>
              <w:numPr>
                <w:ilvl w:val="0"/>
                <w:numId w:val="4"/>
              </w:numPr>
              <w:ind w:left="840" w:leftChars="0" w:hanging="420" w:firstLineChars="0"/>
              <w:rPr>
                <w:rFonts w:hint="default"/>
                <w:lang w:val="en-US" w:eastAsia="ja-JP"/>
              </w:rPr>
            </w:pPr>
            <w:r>
              <w:rPr>
                <w:rFonts w:hint="default"/>
                <w:lang w:val="en-US" w:eastAsia="en-GB"/>
              </w:rPr>
              <w:t>UL TCI state switching delay requirements when target TCI is associated with DL-RS</w:t>
            </w:r>
          </w:p>
          <w:p>
            <w:pPr>
              <w:numPr>
                <w:ilvl w:val="0"/>
                <w:numId w:val="4"/>
              </w:numPr>
              <w:ind w:left="840" w:leftChars="0" w:hanging="420" w:firstLineChars="0"/>
              <w:rPr>
                <w:rFonts w:hint="default"/>
                <w:lang w:val="en-US" w:eastAsia="ja-JP"/>
              </w:rPr>
            </w:pPr>
            <w:r>
              <w:rPr>
                <w:rFonts w:hint="default"/>
                <w:lang w:val="en-US" w:eastAsia="zh-CN"/>
              </w:rPr>
              <w:t>Pathloss RS switch delay requirement for beam alignment case</w:t>
            </w:r>
          </w:p>
          <w:p>
            <w:pPr>
              <w:numPr>
                <w:ilvl w:val="0"/>
                <w:numId w:val="4"/>
              </w:numPr>
              <w:ind w:left="840" w:leftChars="0" w:hanging="420" w:firstLineChars="0"/>
              <w:rPr>
                <w:rFonts w:hint="default"/>
                <w:highlight w:val="none"/>
                <w:lang w:val="en-US" w:eastAsia="ja-JP"/>
              </w:rPr>
            </w:pPr>
            <w:r>
              <w:rPr>
                <w:rFonts w:hint="default"/>
                <w:highlight w:val="none"/>
                <w:lang w:val="en-US" w:eastAsia="zh-CN"/>
              </w:rPr>
              <w:t>It is not precluded to define same or different requirements for DL/UL TCI switching delay in separate TCI mode for serving cell and non-serving cell</w:t>
            </w:r>
          </w:p>
          <w:p>
            <w:pPr>
              <w:numPr>
                <w:ilvl w:val="0"/>
                <w:numId w:val="0"/>
              </w:numPr>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PL-RS switching delay requirement for beam alignment case</w:t>
            </w:r>
          </w:p>
          <w:p>
            <w:pPr>
              <w:numPr>
                <w:ilvl w:val="0"/>
                <w:numId w:val="4"/>
              </w:numPr>
              <w:ind w:left="840" w:leftChars="0" w:hanging="420" w:firstLineChars="0"/>
              <w:rPr>
                <w:rFonts w:hint="default"/>
                <w:lang w:val="en-US" w:eastAsia="ja-JP"/>
              </w:rPr>
            </w:pPr>
            <w:r>
              <w:rPr>
                <w:rFonts w:hint="default"/>
                <w:lang w:val="en-US" w:eastAsia="ja-JP"/>
              </w:rPr>
              <w:t>Don’t need to specify additional PL-RS switching delay requirement.</w:t>
            </w:r>
          </w:p>
          <w:p>
            <w:pPr>
              <w:numPr>
                <w:ilvl w:val="0"/>
                <w:numId w:val="4"/>
              </w:numPr>
              <w:ind w:left="840" w:leftChars="0" w:hanging="420" w:firstLineChars="0"/>
              <w:rPr>
                <w:rFonts w:hint="default"/>
                <w:lang w:val="en-US" w:eastAsia="zh-CN"/>
              </w:rPr>
            </w:pPr>
            <w:r>
              <w:rPr>
                <w:rFonts w:hint="default"/>
                <w:lang w:val="en-US" w:eastAsia="ja-JP"/>
              </w:rPr>
              <w:t xml:space="preserve">RAN4 will further discuss whether </w:t>
            </w:r>
            <w:r>
              <w:rPr>
                <w:rFonts w:hint="default"/>
                <w:lang w:val="en-US" w:eastAsia="zh-CN"/>
              </w:rPr>
              <w:t xml:space="preserve">UL TCI state switching requirements can be re-used for PL-RS switching delay if UL TCI state switching can trigger PL-RS switch, how to capture this in the spec is FFS. </w:t>
            </w:r>
          </w:p>
          <w:p>
            <w:pPr>
              <w:numPr>
                <w:ilvl w:val="0"/>
                <w:numId w:val="0"/>
              </w:numPr>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MAC-CE based DL/UL TCI switching delay in separate TCI mode for serving cell</w:t>
            </w:r>
          </w:p>
          <w:p>
            <w:pPr>
              <w:numPr>
                <w:ilvl w:val="0"/>
                <w:numId w:val="4"/>
              </w:numPr>
              <w:ind w:left="840" w:leftChars="0" w:hanging="420" w:firstLineChars="0"/>
              <w:rPr>
                <w:rFonts w:hint="default"/>
                <w:lang w:val="en-US" w:eastAsia="ja-JP"/>
              </w:rPr>
            </w:pPr>
            <w:r>
              <w:rPr>
                <w:rFonts w:hint="default"/>
                <w:lang w:val="en-US" w:eastAsia="zh-CN"/>
              </w:rPr>
              <w:t xml:space="preserve">Re-use existing known conditions for associated DL-RS </w:t>
            </w:r>
          </w:p>
          <w:p>
            <w:pPr>
              <w:numPr>
                <w:ilvl w:val="0"/>
                <w:numId w:val="4"/>
              </w:numPr>
              <w:ind w:left="840" w:leftChars="0" w:hanging="420" w:firstLineChars="0"/>
              <w:rPr>
                <w:rFonts w:hint="default"/>
                <w:lang w:val="en-US" w:eastAsia="ja-JP"/>
              </w:rPr>
            </w:pPr>
            <w:r>
              <w:rPr>
                <w:rFonts w:hint="default"/>
                <w:lang w:val="en-US" w:eastAsia="ja-JP"/>
              </w:rPr>
              <w:t xml:space="preserve">Re-use existing MAC-CE based TCI switching delay requirements for DL TCI switching delay requirements for PDCCH and PDSCH </w:t>
            </w:r>
          </w:p>
          <w:p>
            <w:pPr>
              <w:numPr>
                <w:ilvl w:val="0"/>
                <w:numId w:val="4"/>
              </w:numPr>
              <w:ind w:left="840" w:leftChars="0" w:hanging="420" w:firstLineChars="0"/>
              <w:rPr>
                <w:rFonts w:hint="default"/>
                <w:lang w:val="en-US" w:eastAsia="ja-JP"/>
              </w:rPr>
            </w:pPr>
            <w:r>
              <w:rPr>
                <w:rFonts w:hint="default"/>
                <w:lang w:val="en-US" w:eastAsia="ja-JP"/>
              </w:rPr>
              <w:t>R</w:t>
            </w:r>
            <w:r>
              <w:rPr>
                <w:rFonts w:hint="eastAsia"/>
                <w:lang w:val="en-US" w:eastAsia="ja-JP"/>
              </w:rPr>
              <w:t xml:space="preserve">euse existing MAC-CE based uplink spatial relation switching requirements for UL TCI </w:t>
            </w:r>
            <w:r>
              <w:rPr>
                <w:rFonts w:hint="default"/>
                <w:lang w:val="en-US" w:eastAsia="ja-JP"/>
              </w:rPr>
              <w:t xml:space="preserve">switching delay </w:t>
            </w:r>
            <w:r>
              <w:rPr>
                <w:rFonts w:hint="eastAsia"/>
                <w:lang w:val="en-US" w:eastAsia="ja-JP"/>
              </w:rPr>
              <w:t>as starting points</w:t>
            </w:r>
            <w:r>
              <w:rPr>
                <w:rFonts w:hint="default"/>
                <w:lang w:val="en-US" w:eastAsia="ja-JP"/>
              </w:rPr>
              <w:t xml:space="preserve"> </w:t>
            </w:r>
          </w:p>
          <w:p>
            <w:pPr>
              <w:numPr>
                <w:ilvl w:val="0"/>
                <w:numId w:val="4"/>
              </w:numPr>
              <w:ind w:left="840" w:leftChars="0" w:hanging="420" w:firstLineChars="0"/>
              <w:rPr>
                <w:rFonts w:hint="default"/>
                <w:lang w:val="en-US" w:eastAsia="zh-CN"/>
              </w:rPr>
            </w:pPr>
            <w:r>
              <w:rPr>
                <w:rFonts w:hint="eastAsia"/>
                <w:lang w:val="en-US" w:eastAsia="ja-JP"/>
              </w:rPr>
              <w:t>F</w:t>
            </w:r>
            <w:r>
              <w:rPr>
                <w:rFonts w:hint="default"/>
                <w:lang w:val="en-US" w:eastAsia="ja-JP"/>
              </w:rPr>
              <w:t>FS: Whether and how to specify requirements for MAC-CE based TCI state-pair indication, considering such one TCI state-pair containing 1 DL TCI and 1 UL TCI, and the source RSs for the 2 TCIs are different.</w:t>
            </w:r>
          </w:p>
          <w:p>
            <w:pPr>
              <w:numPr>
                <w:ilvl w:val="0"/>
                <w:numId w:val="0"/>
              </w:numPr>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MAC-CE based DL/UL TCI switching delay in Joint TCI mode for serving cell</w:t>
            </w:r>
          </w:p>
          <w:p>
            <w:pPr>
              <w:numPr>
                <w:ilvl w:val="0"/>
                <w:numId w:val="4"/>
              </w:numPr>
              <w:ind w:left="840" w:leftChars="0" w:hanging="420" w:firstLineChars="0"/>
              <w:rPr>
                <w:rFonts w:hint="eastAsia"/>
                <w:lang w:val="en-US" w:eastAsia="ja-JP"/>
              </w:rPr>
            </w:pPr>
            <w:r>
              <w:rPr>
                <w:rFonts w:hint="eastAsia"/>
                <w:lang w:val="en-US" w:eastAsia="ja-JP"/>
              </w:rPr>
              <w:t xml:space="preserve">Re-use </w:t>
            </w:r>
            <w:r>
              <w:rPr>
                <w:rFonts w:hint="eastAsia"/>
                <w:lang w:val="en-US" w:eastAsia="zh-CN"/>
              </w:rPr>
              <w:t xml:space="preserve">existing known conditions for associated DL-RS </w:t>
            </w:r>
          </w:p>
          <w:p>
            <w:pPr>
              <w:numPr>
                <w:ilvl w:val="0"/>
                <w:numId w:val="4"/>
              </w:numPr>
              <w:ind w:left="840" w:leftChars="0" w:hanging="420" w:firstLineChars="0"/>
              <w:rPr>
                <w:rFonts w:hint="default"/>
                <w:lang w:val="en-US" w:eastAsia="zh-CN"/>
              </w:rPr>
            </w:pPr>
            <w:r>
              <w:rPr>
                <w:rFonts w:hint="eastAsia"/>
                <w:lang w:val="en-US" w:eastAsia="ja-JP"/>
              </w:rPr>
              <w:t>RAN4 will further discuss whether to define a total switching delay requirement or re-use the legacy requirements or DL/UL TCI switching delay defined in separate mode</w:t>
            </w:r>
          </w:p>
          <w:p>
            <w:pPr>
              <w:numPr>
                <w:ilvl w:val="0"/>
                <w:numId w:val="0"/>
              </w:numPr>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DCI based TCI state switching delay for serving cell</w:t>
            </w:r>
          </w:p>
          <w:p>
            <w:pPr>
              <w:numPr>
                <w:ilvl w:val="0"/>
                <w:numId w:val="4"/>
              </w:numPr>
              <w:ind w:left="840" w:leftChars="0" w:hanging="420" w:firstLineChars="0"/>
              <w:rPr>
                <w:rFonts w:hint="eastAsia"/>
                <w:lang w:val="en-US" w:eastAsia="ja-JP"/>
              </w:rPr>
            </w:pPr>
            <w:r>
              <w:rPr>
                <w:rFonts w:hint="eastAsia"/>
                <w:lang w:val="en-US" w:eastAsia="ja-JP"/>
              </w:rPr>
              <w:t>RAN4 will further discuss DCI based TCI switching delay requirements in RAN4 based on the clear decision in RAN1</w:t>
            </w:r>
          </w:p>
          <w:p>
            <w:pPr>
              <w:numPr>
                <w:ilvl w:val="0"/>
                <w:numId w:val="4"/>
              </w:numPr>
              <w:ind w:left="840" w:leftChars="0" w:hanging="420" w:firstLineChars="0"/>
              <w:rPr>
                <w:rFonts w:hint="eastAsia"/>
                <w:lang w:val="en-US" w:eastAsia="ja-JP"/>
              </w:rPr>
            </w:pPr>
            <w:r>
              <w:rPr>
                <w:rFonts w:hint="eastAsia"/>
                <w:lang w:val="en-US" w:eastAsia="ja-JP"/>
              </w:rPr>
              <w:t xml:space="preserve">RAN4 will further discuss the below conditions for DCI based switching requirement  </w:t>
            </w:r>
          </w:p>
          <w:p>
            <w:pPr>
              <w:pStyle w:val="28"/>
              <w:keepNext w:val="0"/>
              <w:keepLines w:val="0"/>
              <w:pageBreakBefore w:val="0"/>
              <w:numPr>
                <w:ilvl w:val="0"/>
                <w:numId w:val="5"/>
              </w:numPr>
              <w:kinsoku/>
              <w:wordWrap/>
              <w:overflowPunct/>
              <w:topLinePunct w:val="0"/>
              <w:autoSpaceDE/>
              <w:autoSpaceDN/>
              <w:bidi w:val="0"/>
              <w:adjustRightInd/>
              <w:snapToGrid/>
              <w:ind w:left="1200" w:leftChars="0" w:hanging="360" w:firstLineChars="0"/>
              <w:textAlignment w:val="auto"/>
              <w:rPr>
                <w:rFonts w:hint="default" w:ascii="Times New Roman" w:hAnsi="Times New Roman" w:eastAsia="Times New Roman" w:cs="Times New Roman"/>
                <w:kern w:val="0"/>
                <w:sz w:val="20"/>
                <w:szCs w:val="24"/>
                <w:lang w:val="en-US" w:eastAsia="ja-JP" w:bidi="ar-SA"/>
              </w:rPr>
            </w:pPr>
            <w:r>
              <w:rPr>
                <w:rFonts w:hint="default" w:ascii="Times New Roman" w:hAnsi="Times New Roman" w:eastAsia="Times New Roman" w:cs="Times New Roman"/>
                <w:kern w:val="0"/>
                <w:sz w:val="20"/>
                <w:szCs w:val="24"/>
                <w:lang w:val="en-US" w:eastAsia="zh-CN" w:bidi="ar-SA"/>
              </w:rPr>
              <w:t>DCI based TCI switch (for joint or UL TCI) requirements are defined for known TCI, target TCI in active TCI list (for joint only) and PL-RS is maintained</w:t>
            </w:r>
          </w:p>
          <w:p>
            <w:pPr>
              <w:pStyle w:val="28"/>
              <w:keepNext w:val="0"/>
              <w:keepLines w:val="0"/>
              <w:pageBreakBefore w:val="0"/>
              <w:numPr>
                <w:ilvl w:val="0"/>
                <w:numId w:val="5"/>
              </w:numPr>
              <w:kinsoku/>
              <w:wordWrap/>
              <w:overflowPunct/>
              <w:topLinePunct w:val="0"/>
              <w:autoSpaceDE/>
              <w:autoSpaceDN/>
              <w:bidi w:val="0"/>
              <w:adjustRightInd/>
              <w:snapToGrid/>
              <w:ind w:left="1200" w:leftChars="0" w:hanging="360" w:firstLineChars="0"/>
              <w:textAlignment w:val="auto"/>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DCI-based TCI state-pair switch is not precluded, considering such one TCI state-pair containing 1 DL TCI and 1 UL TCI, and the source RSs for the 2 TCIs are different.</w:t>
            </w:r>
          </w:p>
          <w:p>
            <w:pPr>
              <w:numPr>
                <w:ilvl w:val="0"/>
                <w:numId w:val="0"/>
              </w:numPr>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Multiple TCI switching delay</w:t>
            </w:r>
          </w:p>
          <w:p>
            <w:pPr>
              <w:numPr>
                <w:ilvl w:val="0"/>
                <w:numId w:val="4"/>
              </w:numPr>
              <w:ind w:left="840" w:leftChars="0" w:hanging="420" w:firstLineChars="0"/>
              <w:rPr>
                <w:rFonts w:hint="default"/>
                <w:lang w:val="en-US" w:eastAsia="zh-CN"/>
              </w:rPr>
            </w:pPr>
            <w:r>
              <w:rPr>
                <w:rFonts w:hint="eastAsia"/>
                <w:lang w:val="en-US" w:eastAsia="ja-JP"/>
              </w:rPr>
              <w:t xml:space="preserve">RAN4 will </w:t>
            </w:r>
            <w:r>
              <w:rPr>
                <w:rFonts w:hint="eastAsia"/>
                <w:lang w:val="en-US" w:eastAsia="zh-CN"/>
              </w:rPr>
              <w:t xml:space="preserve">deprioritize the </w:t>
            </w:r>
            <w:r>
              <w:rPr>
                <w:rFonts w:hint="eastAsia"/>
                <w:lang w:val="en-US" w:eastAsia="ja-JP"/>
              </w:rPr>
              <w:t>discussion about whether to specify the requirements for multiple TCI switching delay</w:t>
            </w:r>
          </w:p>
          <w:p>
            <w:pPr>
              <w:numPr>
                <w:ilvl w:val="0"/>
                <w:numId w:val="0"/>
              </w:numPr>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Common TCI switching delay for CA case</w:t>
            </w:r>
          </w:p>
          <w:p>
            <w:pPr>
              <w:numPr>
                <w:ilvl w:val="0"/>
                <w:numId w:val="4"/>
              </w:numPr>
              <w:ind w:left="840" w:leftChars="0" w:hanging="420" w:firstLineChars="0"/>
              <w:rPr>
                <w:rFonts w:hint="eastAsia"/>
                <w:lang w:val="en-US" w:eastAsia="ja-JP"/>
              </w:rPr>
            </w:pPr>
            <w:r>
              <w:rPr>
                <w:rFonts w:hint="eastAsia"/>
                <w:lang w:val="en-US" w:eastAsia="ja-JP"/>
              </w:rPr>
              <w:t>RAN4 will further discuss whether to specify the requirements for common TCI switching delay for CA case</w:t>
            </w:r>
          </w:p>
          <w:p>
            <w:pPr>
              <w:numPr>
                <w:ilvl w:val="0"/>
                <w:numId w:val="0"/>
              </w:numPr>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TCI switch delay requirements for target TCI is associated with non-serving cell (i.e., cell with different PCI)</w:t>
            </w:r>
          </w:p>
          <w:p>
            <w:pPr>
              <w:numPr>
                <w:ilvl w:val="0"/>
                <w:numId w:val="4"/>
              </w:numPr>
              <w:ind w:left="840" w:leftChars="0" w:hanging="420" w:firstLineChars="0"/>
              <w:rPr>
                <w:rFonts w:hint="eastAsia"/>
                <w:lang w:val="en-US" w:eastAsia="ja-JP"/>
              </w:rPr>
            </w:pPr>
            <w:r>
              <w:rPr>
                <w:rFonts w:hint="eastAsia"/>
                <w:lang w:val="en-US" w:eastAsia="ja-JP"/>
              </w:rPr>
              <w:t xml:space="preserve">Re-use existing known conditions for associated DL-RS </w:t>
            </w:r>
          </w:p>
          <w:p>
            <w:pPr>
              <w:numPr>
                <w:ilvl w:val="0"/>
                <w:numId w:val="4"/>
              </w:numPr>
              <w:ind w:left="840" w:leftChars="0" w:hanging="420" w:firstLineChars="0"/>
              <w:rPr>
                <w:rFonts w:hint="eastAsia"/>
                <w:lang w:val="en-US" w:eastAsia="ja-JP"/>
              </w:rPr>
            </w:pPr>
            <w:r>
              <w:rPr>
                <w:rFonts w:hint="eastAsia"/>
                <w:lang w:val="en-US" w:eastAsia="ja-JP"/>
              </w:rPr>
              <w:t xml:space="preserve">FFS: Re-use existing MAC-CE based TCI switching delay requirements for DL TCI switching delay requirements for PDCCH and PDSCH </w:t>
            </w:r>
          </w:p>
          <w:p>
            <w:pPr>
              <w:numPr>
                <w:ilvl w:val="0"/>
                <w:numId w:val="4"/>
              </w:numPr>
              <w:ind w:left="840" w:leftChars="0" w:hanging="420" w:firstLineChars="0"/>
              <w:rPr>
                <w:rFonts w:hint="eastAsia"/>
                <w:lang w:val="en-US" w:eastAsia="ja-JP"/>
              </w:rPr>
            </w:pPr>
            <w:r>
              <w:rPr>
                <w:rFonts w:hint="eastAsia"/>
                <w:lang w:val="en-US" w:eastAsia="ja-JP"/>
              </w:rPr>
              <w:t xml:space="preserve">Reuse existing MAC-CE based uplink spatial relation switching requirements for UL TCI switching delay as starting points. </w:t>
            </w:r>
          </w:p>
          <w:p>
            <w:pPr>
              <w:numPr>
                <w:ilvl w:val="0"/>
                <w:numId w:val="4"/>
              </w:numPr>
              <w:ind w:left="840" w:leftChars="0" w:hanging="420" w:firstLineChars="0"/>
              <w:rPr>
                <w:rFonts w:hint="default"/>
                <w:sz w:val="24"/>
                <w:szCs w:val="24"/>
                <w:lang w:val="en-US" w:eastAsia="zh-CN"/>
              </w:rPr>
            </w:pPr>
            <w:r>
              <w:rPr>
                <w:rFonts w:hint="eastAsia"/>
                <w:lang w:val="en-US" w:eastAsia="ja-JP"/>
              </w:rPr>
              <w:t>RAN4 further discuss how to elaborate the wording for “non-serving cell”</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default" w:eastAsia="宋体"/>
          <w:color w:val="auto"/>
          <w:sz w:val="21"/>
          <w:szCs w:val="21"/>
          <w:lang w:val="en-US" w:eastAsia="zh-CN"/>
        </w:rPr>
      </w:pPr>
      <w:r>
        <w:rPr>
          <w:rFonts w:hint="eastAsia" w:eastAsia="宋体"/>
          <w:color w:val="auto"/>
          <w:sz w:val="21"/>
          <w:szCs w:val="21"/>
          <w:lang w:val="en-US" w:eastAsia="zh-CN"/>
        </w:rPr>
        <w:t xml:space="preserve">Based on the conclusion in 101 e-meeting, for both joint TCI mode and separate TCI mode, some issues are still open, further discussion are needed. </w:t>
      </w:r>
      <w:r>
        <w:rPr>
          <w:rFonts w:hint="eastAsia" w:eastAsia="宋体"/>
          <w:kern w:val="2"/>
          <w:sz w:val="21"/>
          <w:lang w:val="en-US" w:eastAsia="zh-CN"/>
        </w:rPr>
        <w:t>In this document, we give our analysis for the following issues.</w:t>
      </w:r>
    </w:p>
    <w:p>
      <w:pPr>
        <w:pStyle w:val="16"/>
        <w:keepNext w:val="0"/>
        <w:keepLines w:val="0"/>
        <w:pageBreakBefore w:val="0"/>
        <w:numPr>
          <w:ilvl w:val="1"/>
          <w:numId w:val="6"/>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Requirements for DCI based TCI switching for joint/separate mode</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Delay requirements for DCI based TCI switching</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Further consideration for joint/separate TCI switching</w:t>
      </w:r>
    </w:p>
    <w:p>
      <w:pPr>
        <w:pStyle w:val="16"/>
        <w:keepNext w:val="0"/>
        <w:keepLines w:val="0"/>
        <w:pageBreakBefore w:val="0"/>
        <w:numPr>
          <w:ilvl w:val="1"/>
          <w:numId w:val="6"/>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Requirements for MAC CE based TCI switching for joint/separate mode</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eastAsia="宋体" w:cs="Times New Roman"/>
          <w:color w:val="auto"/>
          <w:sz w:val="20"/>
          <w:szCs w:val="20"/>
          <w:lang w:val="en-US" w:eastAsia="zh-CN" w:bidi="ar-SA"/>
        </w:rPr>
      </w:pPr>
      <w:bookmarkStart w:id="0" w:name="OLE_LINK5"/>
      <w:r>
        <w:rPr>
          <w:rFonts w:hint="eastAsia" w:ascii="Times New Roman" w:hAnsi="Times New Roman" w:cs="Times New Roman"/>
          <w:color w:val="auto"/>
          <w:sz w:val="20"/>
          <w:szCs w:val="20"/>
          <w:lang w:val="en-US" w:eastAsia="zh-CN" w:bidi="ar-SA"/>
        </w:rPr>
        <w:t>Known condition for intra-band CA</w:t>
      </w:r>
      <w:bookmarkEnd w:id="0"/>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color w:val="auto"/>
          <w:sz w:val="20"/>
          <w:szCs w:val="20"/>
          <w:lang w:val="en-US" w:eastAsia="zh-CN" w:bidi="ar-SA"/>
        </w:rPr>
      </w:pPr>
      <w:bookmarkStart w:id="1" w:name="OLE_LINK1"/>
      <w:r>
        <w:rPr>
          <w:rFonts w:hint="eastAsia" w:ascii="Times New Roman" w:hAnsi="Times New Roman" w:cs="Times New Roman"/>
          <w:color w:val="auto"/>
          <w:sz w:val="20"/>
          <w:szCs w:val="20"/>
          <w:lang w:val="en-US" w:eastAsia="zh-CN" w:bidi="ar-SA"/>
        </w:rPr>
        <w:t>Delay requirements for MAC CE based DL TCI switching</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Delay requirements for MAC CE based UL TCI switching</w:t>
      </w:r>
    </w:p>
    <w:p>
      <w:pPr>
        <w:pStyle w:val="16"/>
        <w:keepNext w:val="0"/>
        <w:keepLines w:val="0"/>
        <w:pageBreakBefore w:val="0"/>
        <w:numPr>
          <w:ilvl w:val="1"/>
          <w:numId w:val="6"/>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Requirements for PL-RS switching</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Define PL-RS switching delay</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Whether only define PL-RS switching delay for known case</w:t>
      </w:r>
    </w:p>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2.1 Requirements for DCI based TCI switching for joint/separate mode</w:t>
      </w:r>
    </w:p>
    <w:p>
      <w:pPr>
        <w:pStyle w:val="3"/>
        <w:rPr>
          <w:rFonts w:hint="eastAsia"/>
          <w:lang w:val="en-US" w:eastAsia="zh-CN"/>
        </w:rPr>
      </w:pPr>
      <w:r>
        <w:rPr>
          <w:rFonts w:hint="eastAsia"/>
          <w:lang w:val="en-US" w:eastAsia="zh-CN"/>
        </w:rPr>
        <w:t>For how to define the delay requirements for DCI based TCI switching, two options were discussed during 101-e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8"/>
              </w:numPr>
              <w:tabs>
                <w:tab w:val="left" w:pos="-420"/>
                <w:tab w:val="clear" w:pos="-840"/>
              </w:tabs>
              <w:kinsoku/>
              <w:wordWrap/>
              <w:overflowPunct/>
              <w:topLinePunct w:val="0"/>
              <w:autoSpaceDE/>
              <w:autoSpaceDN/>
              <w:bidi w:val="0"/>
              <w:adjustRightInd/>
              <w:snapToGrid/>
              <w:ind w:left="651" w:leftChars="0" w:hanging="363" w:firstLineChars="0"/>
              <w:textAlignment w:val="auto"/>
              <w:rPr>
                <w:rFonts w:hint="eastAsia"/>
                <w:vertAlign w:val="baseline"/>
                <w:lang w:val="en-US" w:eastAsia="zh-CN"/>
              </w:rPr>
            </w:pPr>
            <w:r>
              <w:rPr>
                <w:lang w:val="sv-SE" w:eastAsia="zh-CN"/>
              </w:rPr>
              <w:t xml:space="preserve">Option 1: </w:t>
            </w:r>
            <w:bookmarkStart w:id="2" w:name="OLE_LINK19"/>
            <w:r>
              <w:rPr>
                <w:bCs/>
                <w:lang w:eastAsia="en-GB"/>
              </w:rPr>
              <w:t>T</w:t>
            </w:r>
            <w:r>
              <w:rPr>
                <w:bCs/>
                <w:vertAlign w:val="subscript"/>
                <w:lang w:eastAsia="en-GB"/>
              </w:rPr>
              <w:t>ACK</w:t>
            </w:r>
            <w:bookmarkEnd w:id="2"/>
            <w:r>
              <w:rPr>
                <w:bCs/>
                <w:lang w:eastAsia="en-GB"/>
              </w:rPr>
              <w:t xml:space="preserve"> +Y</w:t>
            </w:r>
            <w:r>
              <w:rPr>
                <w:lang w:val="sv-SE" w:eastAsia="zh-CN"/>
              </w:rPr>
              <w:t xml:space="preserve"> </w:t>
            </w:r>
          </w:p>
          <w:p>
            <w:pPr>
              <w:pStyle w:val="28"/>
              <w:keepNext w:val="0"/>
              <w:keepLines w:val="0"/>
              <w:pageBreakBefore w:val="0"/>
              <w:widowControl w:val="0"/>
              <w:numPr>
                <w:ilvl w:val="0"/>
                <w:numId w:val="8"/>
              </w:numPr>
              <w:tabs>
                <w:tab w:val="left" w:pos="-420"/>
                <w:tab w:val="clear" w:pos="-840"/>
              </w:tabs>
              <w:kinsoku/>
              <w:wordWrap/>
              <w:overflowPunct/>
              <w:topLinePunct w:val="0"/>
              <w:autoSpaceDE/>
              <w:autoSpaceDN/>
              <w:bidi w:val="0"/>
              <w:adjustRightInd/>
              <w:snapToGrid/>
              <w:ind w:left="651" w:leftChars="0" w:hanging="363" w:firstLineChars="0"/>
              <w:textAlignment w:val="auto"/>
              <w:rPr>
                <w:rFonts w:hint="eastAsia"/>
                <w:vertAlign w:val="baseline"/>
                <w:lang w:val="en-US" w:eastAsia="zh-CN"/>
              </w:rPr>
            </w:pPr>
            <w:r>
              <w:rPr>
                <w:lang w:val="sv-SE" w:eastAsia="zh-CN"/>
              </w:rPr>
              <w:t xml:space="preserve">Option 2: Y symbols </w:t>
            </w:r>
          </w:p>
        </w:tc>
      </w:tr>
    </w:tbl>
    <w:p>
      <w:pPr>
        <w:pStyle w:val="3"/>
        <w:rPr>
          <w:rFonts w:hint="eastAsia" w:eastAsia="宋体" w:cs="Times"/>
          <w:szCs w:val="24"/>
          <w:lang w:val="en-US" w:eastAsia="zh-CN"/>
        </w:rPr>
      </w:pPr>
      <w:r>
        <w:rPr>
          <w:rFonts w:hint="eastAsia"/>
          <w:lang w:val="en-US" w:eastAsia="zh-CN"/>
        </w:rPr>
        <w:t xml:space="preserve">For the two options, we believe the target of them are same, but the starting points of the delay are different. For Option 1, the starting point is when UE receiving the DCI, so the time period of </w:t>
      </w:r>
      <w:r>
        <w:rPr>
          <w:rFonts w:eastAsia="Times New Roman" w:cs="Times"/>
          <w:szCs w:val="24"/>
        </w:rPr>
        <w:t xml:space="preserve">acknowledgment </w:t>
      </w:r>
      <w:r>
        <w:rPr>
          <w:rFonts w:hint="eastAsia"/>
          <w:lang w:val="en-US" w:eastAsia="zh-CN"/>
        </w:rPr>
        <w:t xml:space="preserve">is concluded in the equation. But for Option 2, the starting point should be the last symbol of </w:t>
      </w:r>
      <w:r>
        <w:rPr>
          <w:rFonts w:eastAsia="Times New Roman" w:cs="Times"/>
          <w:szCs w:val="24"/>
        </w:rPr>
        <w:t>acknowledgment</w:t>
      </w:r>
      <w:r>
        <w:rPr>
          <w:rFonts w:hint="eastAsia" w:eastAsia="宋体" w:cs="Times"/>
          <w:szCs w:val="24"/>
          <w:lang w:val="en-US" w:eastAsia="zh-CN"/>
        </w:rPr>
        <w:t xml:space="preserve"> used to acknowledge the TCI switching receiving.</w:t>
      </w:r>
    </w:p>
    <w:p>
      <w:pPr>
        <w:pStyle w:val="3"/>
        <w:rPr>
          <w:rFonts w:hint="eastAsia"/>
          <w:lang w:val="en-US" w:eastAsia="zh-CN"/>
        </w:rPr>
      </w:pPr>
      <w:r>
        <w:rPr>
          <w:rFonts w:hint="eastAsia" w:eastAsia="宋体" w:cs="Times"/>
          <w:szCs w:val="24"/>
          <w:lang w:val="en-US" w:eastAsia="zh-CN"/>
        </w:rPr>
        <w:t>Option 1 is totally aligned with the conclusion attached in RAN1 as shown in below. Further more, review the description in legacy Rel-16, the delay requirement always use the MAC CE/RRC signaling/DCI receiving as the starting point, so we believe Option 1 is more in line with the definition habit of RAN4. So we prefer Option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napToGrid w:val="0"/>
              <w:textAlignment w:val="baseline"/>
              <w:rPr>
                <w:rFonts w:eastAsia="Gulim" w:cs="Times"/>
                <w:szCs w:val="24"/>
                <w:lang w:eastAsia="ko-KR"/>
              </w:rPr>
            </w:pPr>
            <w:r>
              <w:rPr>
                <w:rFonts w:eastAsia="Yu Mincho" w:cs="Times"/>
                <w:b/>
                <w:bCs/>
                <w:szCs w:val="24"/>
                <w:highlight w:val="green"/>
              </w:rPr>
              <w:t>Agreement in RAN1 #106e</w:t>
            </w:r>
          </w:p>
          <w:p>
            <w:pPr>
              <w:overflowPunct w:val="0"/>
              <w:autoSpaceDE w:val="0"/>
              <w:autoSpaceDN w:val="0"/>
              <w:adjustRightInd w:val="0"/>
              <w:snapToGrid w:val="0"/>
              <w:textAlignment w:val="baseline"/>
              <w:rPr>
                <w:rFonts w:hint="default" w:eastAsia="宋体" w:cs="Times"/>
                <w:szCs w:val="24"/>
                <w:lang w:val="en-US" w:eastAsia="zh-CN"/>
              </w:rPr>
            </w:pPr>
            <w:r>
              <w:rPr>
                <w:rFonts w:eastAsia="Times New Roman" w:cs="Times"/>
                <w:szCs w:val="24"/>
              </w:rPr>
              <w:t xml:space="preserve">On Rel-17 DCI-based beam indication, regarding application time of the beam indication, the first slot to apply the indicated TCI is at least Y symbols after the last symbol of the </w:t>
            </w:r>
            <w:bookmarkStart w:id="3" w:name="OLE_LINK6"/>
            <w:r>
              <w:rPr>
                <w:rFonts w:eastAsia="Times New Roman" w:cs="Times"/>
                <w:szCs w:val="24"/>
              </w:rPr>
              <w:t xml:space="preserve">acknowledgment </w:t>
            </w:r>
            <w:bookmarkEnd w:id="3"/>
            <w:r>
              <w:rPr>
                <w:rFonts w:eastAsia="Times New Roman" w:cs="Times"/>
                <w:szCs w:val="24"/>
              </w:rPr>
              <w:t>of the joint or separate DL/UL beam indication.</w:t>
            </w:r>
            <w:r>
              <w:rPr>
                <w:rFonts w:hint="eastAsia" w:cs="Times"/>
                <w:szCs w:val="24"/>
                <w:lang w:val="en-US" w:eastAsia="zh-CN"/>
              </w:rPr>
              <w:t xml:space="preserve"> </w:t>
            </w:r>
          </w:p>
          <w:p>
            <w:pPr>
              <w:numPr>
                <w:ilvl w:val="0"/>
                <w:numId w:val="9"/>
              </w:numPr>
              <w:overflowPunct w:val="0"/>
              <w:autoSpaceDE w:val="0"/>
              <w:autoSpaceDN w:val="0"/>
              <w:adjustRightInd w:val="0"/>
              <w:snapToGrid w:val="0"/>
              <w:spacing w:after="0"/>
              <w:jc w:val="both"/>
              <w:textAlignment w:val="baseline"/>
              <w:rPr>
                <w:rFonts w:eastAsia="Times New Roman" w:cs="Times"/>
                <w:szCs w:val="24"/>
              </w:rPr>
            </w:pPr>
            <w:r>
              <w:rPr>
                <w:rFonts w:eastAsia="Times New Roman" w:cs="Times"/>
                <w:szCs w:val="24"/>
              </w:rPr>
              <w:t>Note: The Y symbols are configured by the gNB based on UE capability, which is also reported in units of symbols.</w:t>
            </w:r>
            <w:r>
              <w:rPr>
                <w:rFonts w:hint="eastAsia" w:eastAsia="宋体" w:cs="Times"/>
                <w:szCs w:val="24"/>
                <w:lang w:val="en-US" w:eastAsia="zh-CN"/>
              </w:rPr>
              <w:t xml:space="preserve"> </w:t>
            </w:r>
          </w:p>
          <w:p>
            <w:pPr>
              <w:numPr>
                <w:ilvl w:val="0"/>
                <w:numId w:val="9"/>
              </w:numPr>
              <w:overflowPunct w:val="0"/>
              <w:autoSpaceDE w:val="0"/>
              <w:autoSpaceDN w:val="0"/>
              <w:adjustRightInd w:val="0"/>
              <w:snapToGrid w:val="0"/>
              <w:spacing w:after="0"/>
              <w:jc w:val="both"/>
              <w:textAlignment w:val="baseline"/>
              <w:rPr>
                <w:rFonts w:eastAsia="Times New Roman" w:cs="Times"/>
                <w:szCs w:val="24"/>
              </w:rPr>
            </w:pPr>
            <w:r>
              <w:rPr>
                <w:rFonts w:eastAsia="Times New Roman" w:cs="Times"/>
                <w:szCs w:val="24"/>
              </w:rPr>
              <w:t>FFS whether Y is configured per BWP , per CC or per band or per SCS , or independent of BWP/CC/SCS</w:t>
            </w:r>
          </w:p>
          <w:p>
            <w:pPr>
              <w:numPr>
                <w:ilvl w:val="1"/>
                <w:numId w:val="9"/>
              </w:numPr>
              <w:overflowPunct w:val="0"/>
              <w:autoSpaceDE w:val="0"/>
              <w:autoSpaceDN w:val="0"/>
              <w:adjustRightInd w:val="0"/>
              <w:snapToGrid w:val="0"/>
              <w:spacing w:after="0"/>
              <w:jc w:val="both"/>
              <w:textAlignment w:val="baseline"/>
              <w:rPr>
                <w:rFonts w:eastAsia="Times New Roman" w:cs="Times"/>
                <w:szCs w:val="24"/>
              </w:rPr>
            </w:pPr>
            <w:r>
              <w:rPr>
                <w:rFonts w:eastAsia="Times New Roman" w:cs="Times"/>
                <w:szCs w:val="24"/>
              </w:rPr>
              <w:t>Note: Previous agreement in RAN1#104b-e that remaining unused DCI fields and codepoints are reserved in R17 are not to be reverted</w:t>
            </w:r>
          </w:p>
        </w:tc>
      </w:tr>
    </w:tbl>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olor w:val="auto"/>
          <w:sz w:val="21"/>
          <w:szCs w:val="21"/>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targets of Option 1 and Option 2 are same, considering Option 1 is aligned with RAN1</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conclusion and in line with RAN4</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definition habit, we prefer Option 1.</w:t>
      </w:r>
    </w:p>
    <w:p>
      <w:pPr>
        <w:pStyle w:val="3"/>
        <w:rPr>
          <w:rFonts w:hint="eastAsia"/>
          <w:lang w:val="en-US" w:eastAsia="zh-CN"/>
        </w:rPr>
      </w:pPr>
      <w:r>
        <w:rPr>
          <w:rFonts w:hint="eastAsia"/>
          <w:lang w:val="en-US" w:eastAsia="zh-CN"/>
        </w:rPr>
        <w:t>Based on the delay requirements, for joint TCI switch and separate TCI switch with a pair of DL TCI and UL TCI, since one DCI would indicate both DL and UL TCI states, so some further consideration is needed.</w:t>
      </w:r>
    </w:p>
    <w:p>
      <w:pPr>
        <w:pStyle w:val="3"/>
        <w:rPr>
          <w:rFonts w:hint="eastAsia"/>
          <w:lang w:val="en-US" w:eastAsia="zh-CN"/>
        </w:rPr>
      </w:pPr>
      <w:r>
        <w:rPr>
          <w:rFonts w:hint="eastAsia"/>
          <w:lang w:val="en-US" w:eastAsia="zh-CN"/>
        </w:rPr>
        <w:t>For joint TCI switch, a pool of joint DL/UL TCI state is used for joint DL/UL TCI state update. For each joint TCI state, the DL QCL and UL spatial filter would share a common source reference RS, when the SCS between PDSCH/PDCCH and PUSCH/PUCCH/SRS applying the indicated joint TCI state is different, Y should be determined based on which SCS, this should be decided. Until right now, RAN1 has no conclusion about this, RAN4 can wait for RAN1</w:t>
      </w:r>
      <w:r>
        <w:rPr>
          <w:rFonts w:hint="default"/>
          <w:lang w:val="en-US" w:eastAsia="zh-CN"/>
        </w:rPr>
        <w:t>’</w:t>
      </w:r>
      <w:r>
        <w:rPr>
          <w:rFonts w:hint="eastAsia"/>
          <w:lang w:val="en-US" w:eastAsia="zh-CN"/>
        </w:rPr>
        <w:t xml:space="preserve">s conclusion. But this issue should be clarified eventually.  </w:t>
      </w:r>
    </w:p>
    <w:p>
      <w:pPr>
        <w:pStyle w:val="3"/>
        <w:rPr>
          <w:rFonts w:hint="default"/>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For joint TCI switch, for the case of different SCS between PDSCH/PDCCH and PUSCH/PUCCH/SRS, it should be determined which SCS is used to count Y. </w:t>
      </w:r>
    </w:p>
    <w:p>
      <w:pPr>
        <w:pStyle w:val="3"/>
        <w:rPr>
          <w:rFonts w:hint="eastAsia"/>
          <w:lang w:val="en-US" w:eastAsia="zh-CN"/>
        </w:rPr>
      </w:pPr>
      <w:r>
        <w:rPr>
          <w:rFonts w:hint="eastAsia"/>
          <w:lang w:val="en-US" w:eastAsia="zh-CN"/>
        </w:rPr>
        <w:t>For separate TCI switch with a pair of DL TCI and UL TCI, one TCI field codepoint represents a pair of DL TCI state and UL TCI state. If the DCI indicates such a TCI field codepoint, UE applies the corresponding DL TCI state and UL TCI state. Further more, according to 101-e meeting</w:t>
      </w:r>
      <w:r>
        <w:rPr>
          <w:rFonts w:hint="default"/>
          <w:lang w:val="en-US" w:eastAsia="zh-CN"/>
        </w:rPr>
        <w:t>’</w:t>
      </w:r>
      <w:r>
        <w:rPr>
          <w:rFonts w:hint="eastAsia"/>
          <w:lang w:val="en-US" w:eastAsia="zh-CN"/>
        </w:rPr>
        <w:t>s agreements, the source RSs for the 2 TCI states are different. Since only known case is considered for DCI based TCI state switch, the NW should guarantee the target DL TCI state and target UL TCI state are both known. Whether to support one of the two target TCI states is unknown, which should be further discussed. For simplicity, such case can be not supported, but this will limit the application of separate TCI switch with a pair of DL TCI and UL TCI.</w:t>
      </w:r>
    </w:p>
    <w:p>
      <w:pPr>
        <w:pStyle w:val="3"/>
        <w:rPr>
          <w:rFonts w:hint="default" w:eastAsia="宋体"/>
          <w:color w:val="auto"/>
          <w:sz w:val="21"/>
          <w:szCs w:val="21"/>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separate TCI switch with a pair of DL TCI and UL TCI, whether the case of only one of the two target TCI states is known allowed, which should be determined.</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2.2 Requirements for MAC CE based TCI switching for joint/separate mode</w:t>
      </w:r>
    </w:p>
    <w:p>
      <w:pPr>
        <w:jc w:val="both"/>
        <w:rPr>
          <w:rFonts w:hint="default"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 xml:space="preserve">For </w:t>
      </w:r>
      <w:r>
        <w:rPr>
          <w:rFonts w:hint="eastAsia" w:eastAsia="宋体" w:cs="Times New Roman"/>
          <w:color w:val="auto"/>
          <w:sz w:val="21"/>
          <w:szCs w:val="21"/>
          <w:lang w:val="en-US" w:eastAsia="zh-CN" w:bidi="ar-SA"/>
        </w:rPr>
        <w:t>the known condition, the following has been approved during</w:t>
      </w:r>
      <w:r>
        <w:rPr>
          <w:rFonts w:hint="eastAsia" w:ascii="Times New Roman" w:hAnsi="Times New Roman" w:eastAsia="宋体" w:cs="Times New Roman"/>
          <w:color w:val="auto"/>
          <w:sz w:val="21"/>
          <w:szCs w:val="21"/>
          <w:lang w:val="en-US" w:eastAsia="zh-CN" w:bidi="ar-SA"/>
        </w:rPr>
        <w:t xml:space="preserve"> 101-e meeting</w:t>
      </w:r>
      <w:r>
        <w:rPr>
          <w:rFonts w:hint="eastAsia" w:eastAsia="宋体" w:cs="Times New Roman"/>
          <w:color w:val="auto"/>
          <w:sz w:val="21"/>
          <w:szCs w:val="21"/>
          <w:lang w:val="en-US" w:eastAsia="zh-CN" w:bidi="ar-SA"/>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MAC-CE based DL/UL TCI switching delay in separate TCI mode for serving cell</w:t>
            </w:r>
          </w:p>
          <w:p>
            <w:pPr>
              <w:numPr>
                <w:ilvl w:val="0"/>
                <w:numId w:val="4"/>
              </w:numPr>
              <w:ind w:left="840" w:leftChars="0" w:hanging="420" w:firstLineChars="0"/>
              <w:rPr>
                <w:rFonts w:hint="default"/>
                <w:lang w:val="en-US" w:eastAsia="ja-JP"/>
              </w:rPr>
            </w:pPr>
            <w:r>
              <w:rPr>
                <w:rFonts w:hint="default"/>
                <w:lang w:val="en-US" w:eastAsia="zh-CN"/>
              </w:rPr>
              <w:t xml:space="preserve">Re-use existing known conditions for associated DL-RS </w:t>
            </w:r>
          </w:p>
          <w:p>
            <w:pPr>
              <w:numPr>
                <w:ilvl w:val="0"/>
                <w:numId w:val="0"/>
              </w:numPr>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MAC-CE based DL/UL TCI switching delay in Joint TCI mode for serving cell</w:t>
            </w:r>
          </w:p>
          <w:p>
            <w:pPr>
              <w:numPr>
                <w:ilvl w:val="0"/>
                <w:numId w:val="4"/>
              </w:numPr>
              <w:ind w:left="840" w:leftChars="0" w:hanging="420" w:firstLineChars="0"/>
              <w:rPr>
                <w:rFonts w:hint="eastAsia" w:eastAsia="宋体" w:cs="Times New Roman"/>
                <w:color w:val="auto"/>
                <w:sz w:val="21"/>
                <w:szCs w:val="21"/>
                <w:vertAlign w:val="baseline"/>
                <w:lang w:val="en-US" w:eastAsia="zh-CN" w:bidi="ar-SA"/>
              </w:rPr>
            </w:pPr>
            <w:r>
              <w:rPr>
                <w:rFonts w:hint="eastAsia"/>
                <w:lang w:val="en-US" w:eastAsia="ja-JP"/>
              </w:rPr>
              <w:t xml:space="preserve">Re-use </w:t>
            </w:r>
            <w:r>
              <w:rPr>
                <w:rFonts w:hint="eastAsia"/>
                <w:lang w:val="en-US" w:eastAsia="zh-CN"/>
              </w:rPr>
              <w:t xml:space="preserve">existing known conditions for associated DL-RS </w:t>
            </w:r>
          </w:p>
        </w:tc>
      </w:tr>
    </w:tbl>
    <w:p>
      <w:pPr>
        <w:jc w:val="both"/>
        <w:rPr>
          <w:rFonts w:hint="default" w:ascii="Times New Roman" w:hAnsi="Times New Roman" w:eastAsia="宋体" w:cs="Times New Roman"/>
          <w:color w:val="auto"/>
          <w:sz w:val="21"/>
          <w:szCs w:val="21"/>
          <w:lang w:val="en-US" w:eastAsia="zh-CN" w:bidi="ar-SA"/>
        </w:rPr>
      </w:pPr>
      <w:r>
        <w:rPr>
          <w:rFonts w:hint="eastAsia" w:eastAsia="宋体" w:cs="Times New Roman"/>
          <w:color w:val="auto"/>
          <w:sz w:val="21"/>
          <w:szCs w:val="21"/>
          <w:lang w:val="en-US" w:eastAsia="zh-CN" w:bidi="ar-SA"/>
        </w:rPr>
        <w:t xml:space="preserve">Considering unified TCI structure is also applicable for intra-band CA in RAN1, so it is necessary to check whether </w:t>
      </w:r>
      <w:r>
        <w:rPr>
          <w:rFonts w:hint="default" w:ascii="Times New Roman" w:hAnsi="Times New Roman" w:eastAsia="宋体" w:cs="Times New Roman"/>
          <w:color w:val="auto"/>
          <w:sz w:val="21"/>
          <w:szCs w:val="21"/>
          <w:lang w:val="en-US" w:eastAsia="zh-CN" w:bidi="ar-SA"/>
        </w:rPr>
        <w:t xml:space="preserve">the </w:t>
      </w:r>
      <w:r>
        <w:rPr>
          <w:rFonts w:hint="eastAsia" w:eastAsia="宋体" w:cs="Times New Roman"/>
          <w:color w:val="auto"/>
          <w:sz w:val="21"/>
          <w:szCs w:val="21"/>
          <w:lang w:val="en-US" w:eastAsia="zh-CN" w:bidi="ar-SA"/>
        </w:rPr>
        <w:t xml:space="preserve">existing </w:t>
      </w:r>
      <w:r>
        <w:rPr>
          <w:rFonts w:hint="default" w:ascii="Times New Roman" w:hAnsi="Times New Roman" w:eastAsia="宋体" w:cs="Times New Roman"/>
          <w:color w:val="auto"/>
          <w:sz w:val="21"/>
          <w:szCs w:val="21"/>
          <w:lang w:val="en-US" w:eastAsia="zh-CN" w:bidi="ar-SA"/>
        </w:rPr>
        <w:t xml:space="preserve">known condition need </w:t>
      </w:r>
      <w:r>
        <w:rPr>
          <w:rFonts w:hint="eastAsia" w:eastAsia="宋体" w:cs="Times New Roman"/>
          <w:color w:val="auto"/>
          <w:sz w:val="21"/>
          <w:szCs w:val="21"/>
          <w:lang w:val="en-US" w:eastAsia="zh-CN" w:bidi="ar-SA"/>
        </w:rPr>
        <w:t xml:space="preserve">further </w:t>
      </w:r>
      <w:r>
        <w:rPr>
          <w:rFonts w:hint="default" w:ascii="Times New Roman" w:hAnsi="Times New Roman" w:eastAsia="宋体" w:cs="Times New Roman"/>
          <w:color w:val="auto"/>
          <w:sz w:val="21"/>
          <w:szCs w:val="21"/>
          <w:lang w:val="en-US" w:eastAsia="zh-CN" w:bidi="ar-SA"/>
        </w:rPr>
        <w:t xml:space="preserve">update for </w:t>
      </w:r>
      <w:r>
        <w:rPr>
          <w:rFonts w:hint="eastAsia" w:eastAsia="宋体" w:cs="Times New Roman"/>
          <w:color w:val="auto"/>
          <w:sz w:val="21"/>
          <w:szCs w:val="21"/>
          <w:lang w:val="en-US" w:eastAsia="zh-CN" w:bidi="ar-SA"/>
        </w:rPr>
        <w:t xml:space="preserve">unified </w:t>
      </w:r>
      <w:r>
        <w:rPr>
          <w:rFonts w:hint="default" w:ascii="Times New Roman" w:hAnsi="Times New Roman" w:eastAsia="宋体" w:cs="Times New Roman"/>
          <w:color w:val="auto"/>
          <w:sz w:val="21"/>
          <w:szCs w:val="21"/>
          <w:lang w:val="en-US" w:eastAsia="zh-CN" w:bidi="ar-SA"/>
        </w:rPr>
        <w:t>TCI state switch in intra-band CA.</w:t>
      </w:r>
    </w:p>
    <w:p>
      <w:pPr>
        <w:jc w:val="both"/>
        <w:rPr>
          <w:rFonts w:hint="eastAsia" w:eastAsia="宋体" w:cs="Times New Roman"/>
          <w:color w:val="auto"/>
          <w:sz w:val="21"/>
          <w:szCs w:val="21"/>
          <w:lang w:val="en-US" w:eastAsia="zh-CN" w:bidi="ar-SA"/>
        </w:rPr>
      </w:pPr>
      <w:r>
        <w:rPr>
          <w:rFonts w:hint="eastAsia" w:eastAsia="宋体" w:cs="Times New Roman"/>
          <w:color w:val="auto"/>
          <w:sz w:val="21"/>
          <w:szCs w:val="21"/>
          <w:lang w:val="en-US" w:eastAsia="zh-CN" w:bidi="ar-SA"/>
        </w:rPr>
        <w:t xml:space="preserve">RAN1 has been agreed that both MAC CE based and DCI based unified TCI state switch can be used to switch the common TCI for multiple CCs within intra-band CA. Once receiving the MAC CE based or DCI based TCI state switch command by UE, for multiple CCs within a intra-band CC group, the active TCI state would switch to the target TCI state. If the target TCI state is QCL type D, there are two possible solutions to determine the target beam: a) Once a CC/BWP is configured for the source RS of the target TCI state, then each CC within the intra-band CC group would use the beam direction of the source RS transmitted in such CC/BWP as target beam; b) If without any CC/BWP configured for the source RS of the target TCI state, only RS ID exists, then each CC within the intra-band CC group should use the beam direction of its RS with such ID as the target beam. </w:t>
      </w:r>
    </w:p>
    <w:p>
      <w:pPr>
        <w:jc w:val="both"/>
        <w:rPr>
          <w:rFonts w:hint="eastAsia" w:eastAsia="宋体" w:cs="Times New Roman"/>
          <w:color w:val="auto"/>
          <w:sz w:val="21"/>
          <w:szCs w:val="21"/>
          <w:lang w:val="en-US" w:eastAsia="zh-CN" w:bidi="ar-SA"/>
        </w:rPr>
      </w:pPr>
      <w:r>
        <w:rPr>
          <w:rFonts w:hint="eastAsia" w:eastAsia="宋体" w:cs="Times New Roman"/>
          <w:color w:val="auto"/>
          <w:sz w:val="21"/>
          <w:szCs w:val="21"/>
          <w:lang w:val="en-US" w:eastAsia="zh-CN" w:bidi="ar-SA"/>
        </w:rPr>
        <w:t xml:space="preserve">For solution a), if the configured CC/BWP is not the CC which would apply the target TCI state, which means the source RS of the target TCI state is transmitted in another CC, the known condition should be further check. </w:t>
      </w:r>
    </w:p>
    <w:p>
      <w:pPr>
        <w:jc w:val="both"/>
        <w:rPr>
          <w:rFonts w:hint="default" w:eastAsia="宋体" w:cs="Times New Roman"/>
          <w:color w:val="auto"/>
          <w:sz w:val="21"/>
          <w:szCs w:val="21"/>
          <w:lang w:val="en-US" w:eastAsia="zh-CN" w:bidi="ar-SA"/>
        </w:rPr>
      </w:pPr>
      <w:r>
        <w:rPr>
          <w:rFonts w:hint="eastAsia" w:eastAsia="宋体" w:cs="Times New Roman"/>
          <w:color w:val="auto"/>
          <w:sz w:val="21"/>
          <w:szCs w:val="21"/>
          <w:lang w:val="en-US" w:eastAsia="zh-CN" w:bidi="ar-SA"/>
        </w:rPr>
        <w:t>We believe such case is also possible in legacy Rel-16 TCI state switch. For the TCI state of QCL type-C/D, the source RS of the target TCI state can be transmitted in other serving cell. Further more, the update of TCI state for a CC group has been supported in Rel-16, so we believe there is not any new characteristic introduced by the unified TCI state structure applying for intra-band CA, therefore, not need additional update for known condition applying for intra-band CA.</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Considering for applying the unified TCI state in intra-band CA case, still reuse the existing known condition is enough, not need to update the known condition.</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the delay requirements for MAC CE based DL TCI state switch, for separate DL TCI state switch, it has been approved to re-use existing MAC-CE based TCI switching delay requirements for DL TCI switching delay requirements in 101-e meeting. But for joint mode and for separate mode with DL+UL TCI pair update, the requirements are still open.</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The following two options discussed during 101-e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10"/>
              </w:numPr>
              <w:kinsoku/>
              <w:wordWrap/>
              <w:overflowPunct/>
              <w:topLinePunct w:val="0"/>
              <w:autoSpaceDE/>
              <w:autoSpaceDN/>
              <w:bidi w:val="0"/>
              <w:adjustRightInd/>
              <w:snapToGrid/>
              <w:ind w:left="420" w:leftChars="0" w:hanging="420" w:firstLineChars="0"/>
              <w:textAlignment w:val="auto"/>
              <w:rPr>
                <w:rFonts w:ascii="Times New Roman" w:hAnsi="Times New Roman" w:eastAsia="Times New Roman" w:cs="Times New Roman"/>
                <w:kern w:val="0"/>
                <w:sz w:val="20"/>
                <w:szCs w:val="24"/>
                <w:lang w:val="sv-SE" w:eastAsia="zh-CN" w:bidi="ar-SA"/>
              </w:rPr>
            </w:pPr>
            <w:r>
              <w:rPr>
                <w:rFonts w:ascii="Times New Roman" w:hAnsi="Times New Roman" w:eastAsia="Times New Roman" w:cs="Times New Roman"/>
                <w:kern w:val="0"/>
                <w:sz w:val="20"/>
                <w:szCs w:val="24"/>
                <w:lang w:val="sv-SE" w:eastAsia="zh-CN" w:bidi="ar-SA"/>
              </w:rPr>
              <w:t>Option 1</w:t>
            </w:r>
            <w:r>
              <w:rPr>
                <w:rFonts w:hint="eastAsia" w:ascii="Times New Roman" w:hAnsi="Times New Roman" w:eastAsia="Times New Roman" w:cs="Times New Roman"/>
                <w:kern w:val="0"/>
                <w:sz w:val="20"/>
                <w:szCs w:val="24"/>
                <w:lang w:val="en-US" w:eastAsia="zh-CN" w:bidi="ar-SA"/>
              </w:rPr>
              <w:t>:</w:t>
            </w:r>
            <w:r>
              <w:rPr>
                <w:rFonts w:ascii="Times New Roman" w:hAnsi="Times New Roman" w:eastAsia="Times New Roman" w:cs="Times New Roman"/>
                <w:kern w:val="0"/>
                <w:sz w:val="20"/>
                <w:szCs w:val="24"/>
                <w:lang w:val="sv-SE" w:eastAsia="zh-CN" w:bidi="ar-SA"/>
              </w:rPr>
              <w:t xml:space="preserve"> </w:t>
            </w:r>
          </w:p>
          <w:p>
            <w:pPr>
              <w:keepNext w:val="0"/>
              <w:keepLines w:val="0"/>
              <w:pageBreakBefore w:val="0"/>
              <w:widowControl w:val="0"/>
              <w:kinsoku/>
              <w:wordWrap/>
              <w:overflowPunct/>
              <w:topLinePunct w:val="0"/>
              <w:autoSpaceDE/>
              <w:autoSpaceDN/>
              <w:bidi w:val="0"/>
              <w:adjustRightInd/>
              <w:snapToGrid/>
              <w:ind w:left="568" w:firstLine="720"/>
              <w:textAlignment w:val="auto"/>
              <w:rPr>
                <w:rFonts w:eastAsiaTheme="minorEastAsia"/>
                <w:bCs/>
              </w:rPr>
            </w:pPr>
            <w:r>
              <w:rPr>
                <w:lang w:val="sv-SE" w:eastAsia="zh-CN"/>
              </w:rPr>
              <w:t>Known condition</w:t>
            </w:r>
            <w:r>
              <w:rPr>
                <w:rFonts w:hint="eastAsia"/>
                <w:lang w:val="en-US" w:eastAsia="zh-CN"/>
              </w:rPr>
              <w:t xml:space="preserve">: </w:t>
            </w:r>
            <w:r>
              <w:rPr>
                <w:rFonts w:eastAsia="Malgun Gothic"/>
                <w:bCs/>
                <w:lang w:eastAsia="zh-CN"/>
              </w:rPr>
              <w:t>T</w:t>
            </w:r>
            <w:r>
              <w:rPr>
                <w:rFonts w:eastAsia="Malgun Gothic"/>
                <w:bCs/>
                <w:vertAlign w:val="subscript"/>
                <w:lang w:eastAsia="zh-CN"/>
              </w:rPr>
              <w:t>HARQ</w:t>
            </w:r>
            <w:r>
              <w:rPr>
                <w:rFonts w:eastAsia="Malgun Gothic"/>
                <w:bCs/>
                <w:lang w:eastAsia="zh-CN"/>
              </w:rPr>
              <w:t xml:space="preserve"> + 3ms + max{TO</w:t>
            </w:r>
            <w:r>
              <w:rPr>
                <w:rFonts w:eastAsia="Malgun Gothic"/>
                <w:bCs/>
                <w:vertAlign w:val="subscript"/>
                <w:lang w:eastAsia="zh-CN"/>
              </w:rPr>
              <w:t>k</w:t>
            </w:r>
            <w:r>
              <w:rPr>
                <w:rFonts w:eastAsia="Malgun Gothic"/>
                <w:bCs/>
                <w:lang w:eastAsia="zh-CN"/>
              </w:rPr>
              <w:t>*(T</w:t>
            </w:r>
            <w:r>
              <w:rPr>
                <w:rFonts w:eastAsia="Malgun Gothic"/>
                <w:bCs/>
                <w:vertAlign w:val="subscript"/>
                <w:lang w:eastAsia="zh-CN"/>
              </w:rPr>
              <w:t xml:space="preserve">first-SSB </w:t>
            </w:r>
            <w:r>
              <w:rPr>
                <w:rFonts w:eastAsia="Malgun Gothic"/>
                <w:bCs/>
                <w:lang w:eastAsia="zh-CN"/>
              </w:rPr>
              <w:t>+ T</w:t>
            </w:r>
            <w:r>
              <w:rPr>
                <w:rFonts w:eastAsia="Malgun Gothic"/>
                <w:bCs/>
                <w:vertAlign w:val="subscript"/>
                <w:lang w:eastAsia="zh-CN"/>
              </w:rPr>
              <w:t>SSB-proc</w:t>
            </w:r>
            <w:r>
              <w:rPr>
                <w:rFonts w:eastAsia="Malgun Gothic"/>
                <w:bCs/>
                <w:lang w:eastAsia="zh-CN"/>
              </w:rPr>
              <w:t xml:space="preserve">) , </w:t>
            </w:r>
            <w:r>
              <w:rPr>
                <w:bCs/>
              </w:rPr>
              <w:t>NM</w:t>
            </w:r>
            <w:r>
              <w:t>*(</w:t>
            </w:r>
            <w:r>
              <w:rPr>
                <w:rFonts w:eastAsiaTheme="minorEastAsia"/>
              </w:rPr>
              <w:t xml:space="preserve"> </w:t>
            </w:r>
            <w:r>
              <w:rPr>
                <w:rFonts w:eastAsiaTheme="minorEastAsia"/>
                <w:bCs/>
              </w:rPr>
              <w:t>T</w:t>
            </w:r>
            <w:r>
              <w:rPr>
                <w:rFonts w:eastAsiaTheme="minorEastAsia"/>
                <w:bCs/>
                <w:vertAlign w:val="subscript"/>
              </w:rPr>
              <w:t xml:space="preserve">first_target-PL-RS </w:t>
            </w:r>
            <w:r>
              <w:rPr>
                <w:rFonts w:eastAsiaTheme="minorEastAsia"/>
                <w:bCs/>
              </w:rPr>
              <w:t xml:space="preserve">+ </w:t>
            </w:r>
            <w:r>
              <w:rPr>
                <w:bCs/>
              </w:rPr>
              <w:t>4*T</w:t>
            </w:r>
            <w:r>
              <w:rPr>
                <w:bCs/>
                <w:vertAlign w:val="subscript"/>
              </w:rPr>
              <w:t xml:space="preserve">target_PL-RS </w:t>
            </w:r>
            <w:r>
              <w:rPr>
                <w:bCs/>
              </w:rPr>
              <w:t>+ 2ms</w:t>
            </w:r>
            <w:r>
              <w:t>)</w:t>
            </w:r>
            <w:r>
              <w:rPr>
                <w:rFonts w:eastAsiaTheme="minorEastAsia"/>
                <w:bCs/>
              </w:rPr>
              <w:t>}</w:t>
            </w:r>
          </w:p>
          <w:p>
            <w:pPr>
              <w:keepNext w:val="0"/>
              <w:keepLines w:val="0"/>
              <w:pageBreakBefore w:val="0"/>
              <w:widowControl w:val="0"/>
              <w:kinsoku/>
              <w:wordWrap/>
              <w:overflowPunct/>
              <w:topLinePunct w:val="0"/>
              <w:autoSpaceDE/>
              <w:autoSpaceDN/>
              <w:bidi w:val="0"/>
              <w:adjustRightInd/>
              <w:snapToGrid/>
              <w:ind w:left="1136" w:firstLine="160"/>
              <w:textAlignment w:val="auto"/>
              <w:rPr>
                <w:rFonts w:eastAsia="Malgun Gothic"/>
                <w:bCs/>
              </w:rPr>
            </w:pPr>
            <w:r>
              <w:rPr>
                <w:rFonts w:hint="eastAsia" w:eastAsiaTheme="minorEastAsia"/>
                <w:bCs/>
                <w:lang w:eastAsia="zh-CN"/>
              </w:rPr>
              <w:t>U</w:t>
            </w:r>
            <w:r>
              <w:rPr>
                <w:rFonts w:eastAsiaTheme="minorEastAsia"/>
                <w:bCs/>
              </w:rPr>
              <w:t xml:space="preserve">nkonwn condition: </w:t>
            </w:r>
            <w:r>
              <w:rPr>
                <w:rFonts w:eastAsia="Malgun Gothic"/>
                <w:bCs/>
                <w:lang w:eastAsia="zh-CN"/>
              </w:rPr>
              <w:t>T</w:t>
            </w:r>
            <w:r>
              <w:rPr>
                <w:rFonts w:eastAsia="Malgun Gothic"/>
                <w:bCs/>
                <w:vertAlign w:val="subscript"/>
                <w:lang w:eastAsia="zh-CN"/>
              </w:rPr>
              <w:t>HARQ</w:t>
            </w:r>
            <w:r>
              <w:rPr>
                <w:rFonts w:eastAsia="Malgun Gothic"/>
                <w:bCs/>
                <w:lang w:eastAsia="zh-CN"/>
              </w:rPr>
              <w:t xml:space="preserve"> + 3ms + </w:t>
            </w:r>
            <w:r>
              <w:rPr>
                <w:bCs/>
                <w:lang w:eastAsia="en-GB"/>
              </w:rPr>
              <w:t>T</w:t>
            </w:r>
            <w:r>
              <w:rPr>
                <w:bCs/>
                <w:vertAlign w:val="subscript"/>
                <w:lang w:eastAsia="en-GB"/>
              </w:rPr>
              <w:t xml:space="preserve">L1-RSRP </w:t>
            </w:r>
            <w:r>
              <w:rPr>
                <w:rFonts w:eastAsia="Malgun Gothic"/>
                <w:bCs/>
                <w:lang w:eastAsia="zh-CN"/>
              </w:rPr>
              <w:t>+max{TO</w:t>
            </w:r>
            <w:r>
              <w:rPr>
                <w:rFonts w:eastAsia="Malgun Gothic"/>
                <w:bCs/>
                <w:vertAlign w:val="subscript"/>
                <w:lang w:eastAsia="zh-CN"/>
              </w:rPr>
              <w:t>uk</w:t>
            </w:r>
            <w:r>
              <w:rPr>
                <w:rFonts w:eastAsia="Malgun Gothic"/>
                <w:bCs/>
                <w:lang w:eastAsia="zh-CN"/>
              </w:rPr>
              <w:t>*(T</w:t>
            </w:r>
            <w:r>
              <w:rPr>
                <w:rFonts w:eastAsia="Malgun Gothic"/>
                <w:bCs/>
                <w:vertAlign w:val="subscript"/>
                <w:lang w:eastAsia="zh-CN"/>
              </w:rPr>
              <w:t>first-SSB</w:t>
            </w:r>
            <w:r>
              <w:rPr>
                <w:rFonts w:eastAsia="Malgun Gothic"/>
                <w:bCs/>
                <w:lang w:eastAsia="zh-CN"/>
              </w:rPr>
              <w:t>+ T</w:t>
            </w:r>
            <w:r>
              <w:rPr>
                <w:rFonts w:eastAsia="Malgun Gothic"/>
                <w:bCs/>
                <w:vertAlign w:val="subscript"/>
                <w:lang w:eastAsia="zh-CN"/>
              </w:rPr>
              <w:t>SSB-proc</w:t>
            </w:r>
            <w:r>
              <w:rPr>
                <w:rFonts w:eastAsia="Malgun Gothic"/>
                <w:bCs/>
                <w:lang w:eastAsia="zh-CN"/>
              </w:rPr>
              <w:t xml:space="preserve">) , </w:t>
            </w:r>
            <w:r>
              <w:rPr>
                <w:bCs/>
              </w:rPr>
              <w:t>(</w:t>
            </w:r>
            <w:r>
              <w:rPr>
                <w:rFonts w:eastAsiaTheme="minorEastAsia"/>
                <w:bCs/>
              </w:rPr>
              <w:t>T</w:t>
            </w:r>
            <w:r>
              <w:rPr>
                <w:rFonts w:eastAsiaTheme="minorEastAsia"/>
                <w:bCs/>
                <w:vertAlign w:val="subscript"/>
              </w:rPr>
              <w:t xml:space="preserve">first_target-PL-RS </w:t>
            </w:r>
            <w:r>
              <w:rPr>
                <w:rFonts w:eastAsiaTheme="minorEastAsia"/>
                <w:bCs/>
              </w:rPr>
              <w:t>+ 4</w:t>
            </w:r>
            <w:r>
              <w:rPr>
                <w:bCs/>
              </w:rPr>
              <w:t>*T</w:t>
            </w:r>
            <w:r>
              <w:rPr>
                <w:bCs/>
                <w:vertAlign w:val="subscript"/>
              </w:rPr>
              <w:t xml:space="preserve">target_PL-RS </w:t>
            </w:r>
            <w:r>
              <w:rPr>
                <w:bCs/>
              </w:rPr>
              <w:t xml:space="preserve">+ 2ms)} </w:t>
            </w:r>
          </w:p>
          <w:p>
            <w:pPr>
              <w:pStyle w:val="28"/>
              <w:keepNext w:val="0"/>
              <w:keepLines w:val="0"/>
              <w:pageBreakBefore w:val="0"/>
              <w:widowControl w:val="0"/>
              <w:numPr>
                <w:ilvl w:val="0"/>
                <w:numId w:val="10"/>
              </w:numPr>
              <w:kinsoku/>
              <w:wordWrap/>
              <w:overflowPunct/>
              <w:topLinePunct w:val="0"/>
              <w:autoSpaceDE/>
              <w:autoSpaceDN/>
              <w:bidi w:val="0"/>
              <w:adjustRightInd/>
              <w:snapToGrid/>
              <w:ind w:left="420" w:leftChars="0" w:hanging="420" w:firstLineChars="0"/>
              <w:textAlignment w:val="auto"/>
              <w:rPr>
                <w:rFonts w:hint="default" w:eastAsia="宋体"/>
                <w:color w:val="auto"/>
                <w:sz w:val="21"/>
                <w:szCs w:val="21"/>
                <w:highlight w:val="none"/>
                <w:vertAlign w:val="baseline"/>
                <w:lang w:val="en-US" w:eastAsia="zh-CN"/>
              </w:rPr>
            </w:pPr>
            <w:r>
              <w:rPr>
                <w:rFonts w:ascii="Times New Roman" w:hAnsi="Times New Roman" w:eastAsia="Times New Roman" w:cs="Times New Roman"/>
                <w:kern w:val="0"/>
                <w:sz w:val="20"/>
                <w:szCs w:val="24"/>
                <w:lang w:val="sv-SE" w:eastAsia="zh-CN" w:bidi="ar-SA"/>
              </w:rPr>
              <w:t>Option 2: Reuse the existing MAC-CE based delay requirements</w:t>
            </w:r>
          </w:p>
        </w:tc>
      </w:tr>
    </w:tbl>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For MAC CE based DL TCI state switch, we believe Option 1 is more comprehensive for joint mode since the delay for non-maintain PL-RS is also considered. But for separate mode, Option 2 is enough. Considering it is a bit complicated using respective requirements for joint mode and separate mode, for </w:t>
      </w:r>
      <w:r>
        <w:rPr>
          <w:rFonts w:hint="eastAsia"/>
          <w:lang w:val="en-US" w:eastAsia="zh-CN"/>
        </w:rPr>
        <w:t>simplicity, using Option 2 for both joint mode and separate mode can be trade-off</w:t>
      </w:r>
      <w:r>
        <w:rPr>
          <w:rFonts w:hint="eastAsia" w:eastAsia="宋体"/>
          <w:color w:val="auto"/>
          <w:sz w:val="21"/>
          <w:szCs w:val="21"/>
          <w:highlight w:val="none"/>
          <w:lang w:val="en-US" w:eastAsia="zh-CN"/>
        </w:rPr>
        <w:t>.</w:t>
      </w:r>
    </w:p>
    <w:p>
      <w:pPr>
        <w:pStyle w:val="3"/>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For simplicity, using Option 2 for both joint mode and separate mode can be trade</w:t>
      </w:r>
      <w:r>
        <w:rPr>
          <w:rFonts w:hint="eastAsia" w:eastAsia="宋体" w:cs="Times New Roman"/>
          <w:b/>
          <w:bCs/>
          <w:color w:val="auto"/>
          <w:sz w:val="21"/>
          <w:szCs w:val="21"/>
          <w:highlight w:val="none"/>
          <w:lang w:val="en-US" w:eastAsia="zh-CN" w:bidi="ar-SA"/>
        </w:rPr>
        <w:t>-</w:t>
      </w:r>
      <w:r>
        <w:rPr>
          <w:rFonts w:hint="eastAsia" w:ascii="Times New Roman" w:hAnsi="Times New Roman" w:eastAsia="宋体" w:cs="Times New Roman"/>
          <w:b/>
          <w:bCs/>
          <w:color w:val="auto"/>
          <w:sz w:val="21"/>
          <w:szCs w:val="21"/>
          <w:highlight w:val="none"/>
          <w:lang w:val="en-US" w:eastAsia="zh-CN" w:bidi="ar-SA"/>
        </w:rPr>
        <w:t>off.</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separate mode with DL and UL TCI state pair switch, t</w:t>
      </w:r>
      <w:r>
        <w:rPr>
          <w:rFonts w:hint="default" w:eastAsia="宋体"/>
          <w:color w:val="auto"/>
          <w:sz w:val="21"/>
          <w:szCs w:val="21"/>
          <w:highlight w:val="none"/>
          <w:lang w:val="en-US" w:eastAsia="zh-CN"/>
        </w:rPr>
        <w:t>heoretically DL TCI state switch delay</w:t>
      </w:r>
      <w:r>
        <w:rPr>
          <w:rFonts w:hint="eastAsia" w:eastAsia="宋体"/>
          <w:color w:val="auto"/>
          <w:sz w:val="21"/>
          <w:szCs w:val="21"/>
          <w:highlight w:val="none"/>
          <w:lang w:val="en-US" w:eastAsia="zh-CN"/>
        </w:rPr>
        <w:t xml:space="preserve"> should be</w:t>
      </w:r>
      <w:r>
        <w:rPr>
          <w:rFonts w:hint="default" w:eastAsia="宋体"/>
          <w:color w:val="auto"/>
          <w:sz w:val="21"/>
          <w:szCs w:val="21"/>
          <w:highlight w:val="none"/>
          <w:lang w:val="en-US" w:eastAsia="zh-CN"/>
        </w:rPr>
        <w:t xml:space="preserve"> larger than UL TCI state switch delay</w:t>
      </w:r>
      <w:r>
        <w:rPr>
          <w:rFonts w:hint="eastAsia" w:eastAsia="宋体"/>
          <w:color w:val="auto"/>
          <w:sz w:val="21"/>
          <w:szCs w:val="21"/>
          <w:highlight w:val="none"/>
          <w:lang w:val="en-US" w:eastAsia="zh-CN"/>
        </w:rPr>
        <w:t xml:space="preserve"> since</w:t>
      </w:r>
      <w:r>
        <w:rPr>
          <w:rFonts w:hint="default" w:eastAsia="宋体"/>
          <w:color w:val="auto"/>
          <w:sz w:val="21"/>
          <w:szCs w:val="21"/>
          <w:highlight w:val="none"/>
          <w:lang w:val="en-US" w:eastAsia="zh-CN"/>
        </w:rPr>
        <w:t xml:space="preserve"> fine timing acquisition/SSB processing time </w:t>
      </w:r>
      <w:r>
        <w:rPr>
          <w:rFonts w:hint="eastAsia" w:eastAsia="宋体"/>
          <w:color w:val="auto"/>
          <w:sz w:val="21"/>
          <w:szCs w:val="21"/>
          <w:highlight w:val="none"/>
          <w:lang w:val="en-US" w:eastAsia="zh-CN"/>
        </w:rPr>
        <w:t>are possible within DL TCI state switch</w:t>
      </w:r>
      <w:r>
        <w:rPr>
          <w:rFonts w:hint="default" w:eastAsia="宋体"/>
          <w:color w:val="auto"/>
          <w:sz w:val="21"/>
          <w:szCs w:val="21"/>
          <w:highlight w:val="none"/>
          <w:lang w:val="en-US" w:eastAsia="zh-CN"/>
        </w:rPr>
        <w:t xml:space="preserve">, </w:t>
      </w:r>
      <w:r>
        <w:rPr>
          <w:rFonts w:hint="eastAsia" w:eastAsia="宋体"/>
          <w:color w:val="auto"/>
          <w:sz w:val="21"/>
          <w:szCs w:val="21"/>
          <w:highlight w:val="none"/>
          <w:lang w:val="en-US" w:eastAsia="zh-CN"/>
        </w:rPr>
        <w:t xml:space="preserve">however </w:t>
      </w:r>
      <w:r>
        <w:rPr>
          <w:rFonts w:hint="default" w:eastAsia="宋体"/>
          <w:color w:val="auto"/>
          <w:sz w:val="21"/>
          <w:szCs w:val="21"/>
          <w:highlight w:val="none"/>
          <w:lang w:val="en-US" w:eastAsia="zh-CN"/>
        </w:rPr>
        <w:t>UL TCI state switch delay</w:t>
      </w:r>
      <w:r>
        <w:rPr>
          <w:rFonts w:hint="eastAsia" w:eastAsia="宋体"/>
          <w:color w:val="auto"/>
          <w:sz w:val="21"/>
          <w:szCs w:val="21"/>
          <w:highlight w:val="none"/>
          <w:lang w:val="en-US" w:eastAsia="zh-CN"/>
        </w:rPr>
        <w:t xml:space="preserve"> only</w:t>
      </w:r>
      <w:r>
        <w:rPr>
          <w:rFonts w:hint="default" w:eastAsia="宋体"/>
          <w:color w:val="auto"/>
          <w:sz w:val="21"/>
          <w:szCs w:val="21"/>
          <w:highlight w:val="none"/>
          <w:lang w:val="en-US" w:eastAsia="zh-CN"/>
        </w:rPr>
        <w:t xml:space="preserve"> just consider the MAC CE effect</w:t>
      </w:r>
      <w:r>
        <w:rPr>
          <w:rFonts w:hint="eastAsia" w:eastAsia="宋体"/>
          <w:color w:val="auto"/>
          <w:sz w:val="21"/>
          <w:szCs w:val="21"/>
          <w:highlight w:val="none"/>
          <w:lang w:val="en-US" w:eastAsia="zh-CN"/>
        </w:rPr>
        <w:t>ing</w:t>
      </w:r>
      <w:r>
        <w:rPr>
          <w:rFonts w:hint="default" w:eastAsia="宋体"/>
          <w:color w:val="auto"/>
          <w:sz w:val="21"/>
          <w:szCs w:val="21"/>
          <w:highlight w:val="none"/>
          <w:lang w:val="en-US" w:eastAsia="zh-CN"/>
        </w:rPr>
        <w:t xml:space="preserve"> delay.</w:t>
      </w:r>
      <w:r>
        <w:rPr>
          <w:rFonts w:hint="eastAsia" w:eastAsia="宋体"/>
          <w:color w:val="auto"/>
          <w:sz w:val="21"/>
          <w:szCs w:val="21"/>
          <w:highlight w:val="none"/>
          <w:lang w:val="en-US" w:eastAsia="zh-CN"/>
        </w:rPr>
        <w:t xml:space="preserve"> So the delay of DL and UL TCI state pair switch can be equal to the existing MAC CE based DL TCI state switch delay, i.e. Option 2 is OK.</w:t>
      </w:r>
    </w:p>
    <w:p>
      <w:pPr>
        <w:pStyle w:val="3"/>
        <w:rPr>
          <w:rFonts w:hint="default" w:eastAsia="宋体"/>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For separate mode with DL and UL TCI state switch delay, we also prefer to using Option 2.</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For the delay requirements for MAC CE based UL TCI state switch, it only concluded that reusing existing MAC-CE based uplink spatial relation switching requirements for UL TCI switching delay as starting points during 101-e meeting. </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Similiar with the case for DL TCI state switch, still two options discussed during 101-e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11"/>
              </w:numPr>
              <w:kinsoku/>
              <w:wordWrap/>
              <w:overflowPunct/>
              <w:topLinePunct w:val="0"/>
              <w:autoSpaceDE/>
              <w:autoSpaceDN/>
              <w:bidi w:val="0"/>
              <w:adjustRightInd/>
              <w:snapToGrid/>
              <w:ind w:left="0" w:leftChars="0" w:firstLine="0" w:firstLineChars="0"/>
              <w:textAlignment w:val="auto"/>
              <w:rPr>
                <w:rFonts w:ascii="Times New Roman" w:hAnsi="Times New Roman" w:eastAsia="Times New Roman" w:cs="Times New Roman"/>
                <w:kern w:val="0"/>
                <w:sz w:val="20"/>
                <w:szCs w:val="24"/>
                <w:lang w:val="sv-SE" w:eastAsia="zh-CN" w:bidi="ar-SA"/>
              </w:rPr>
            </w:pPr>
            <w:r>
              <w:rPr>
                <w:rFonts w:ascii="Times New Roman" w:hAnsi="Times New Roman" w:eastAsia="Times New Roman" w:cs="Times New Roman"/>
                <w:kern w:val="0"/>
                <w:sz w:val="20"/>
                <w:szCs w:val="24"/>
                <w:lang w:val="sv-SE" w:eastAsia="zh-CN" w:bidi="ar-SA"/>
              </w:rPr>
              <w:t>Option 1</w:t>
            </w:r>
            <w:r>
              <w:rPr>
                <w:rFonts w:hint="eastAsia" w:ascii="Times New Roman" w:hAnsi="Times New Roman" w:eastAsia="Times New Roman" w:cs="Times New Roman"/>
                <w:kern w:val="0"/>
                <w:sz w:val="20"/>
                <w:szCs w:val="24"/>
                <w:lang w:val="en-US" w:eastAsia="zh-CN" w:bidi="ar-SA"/>
              </w:rPr>
              <w:t>:</w:t>
            </w:r>
            <w:r>
              <w:rPr>
                <w:rFonts w:ascii="Times New Roman" w:hAnsi="Times New Roman" w:eastAsia="Times New Roman" w:cs="Times New Roman"/>
                <w:kern w:val="0"/>
                <w:sz w:val="20"/>
                <w:szCs w:val="24"/>
                <w:lang w:val="sv-SE" w:eastAsia="zh-CN" w:bidi="ar-SA"/>
              </w:rPr>
              <w:t xml:space="preserve"> </w:t>
            </w:r>
          </w:p>
          <w:p>
            <w:pPr>
              <w:keepNext w:val="0"/>
              <w:keepLines w:val="0"/>
              <w:pageBreakBefore w:val="0"/>
              <w:widowControl w:val="0"/>
              <w:kinsoku/>
              <w:wordWrap/>
              <w:overflowPunct/>
              <w:topLinePunct w:val="0"/>
              <w:autoSpaceDE/>
              <w:autoSpaceDN/>
              <w:bidi w:val="0"/>
              <w:adjustRightInd/>
              <w:snapToGrid/>
              <w:ind w:firstLine="800" w:firstLineChars="400"/>
              <w:textAlignment w:val="auto"/>
              <w:rPr>
                <w:bCs/>
              </w:rPr>
            </w:pPr>
            <w:r>
              <w:rPr>
                <w:lang w:val="sv-SE" w:eastAsia="zh-CN"/>
              </w:rPr>
              <w:t>Known condition</w:t>
            </w:r>
            <w:r>
              <w:rPr>
                <w:rFonts w:hint="eastAsia"/>
                <w:lang w:val="sv-SE" w:eastAsia="zh-CN"/>
              </w:rPr>
              <w:t xml:space="preserve">： </w:t>
            </w:r>
            <w:r>
              <w:rPr>
                <w:lang w:val="sv-SE" w:eastAsia="zh-CN"/>
              </w:rPr>
              <w:t xml:space="preserve"> </w:t>
            </w:r>
            <w:r>
              <w:rPr>
                <w:rFonts w:eastAsia="Malgun Gothic"/>
                <w:bCs/>
                <w:lang w:eastAsia="zh-CN"/>
              </w:rPr>
              <w:t>T</w:t>
            </w:r>
            <w:r>
              <w:rPr>
                <w:rFonts w:eastAsia="Malgun Gothic"/>
                <w:bCs/>
                <w:vertAlign w:val="subscript"/>
                <w:lang w:eastAsia="zh-CN"/>
              </w:rPr>
              <w:t>HARQ</w:t>
            </w:r>
            <w:r>
              <w:rPr>
                <w:rFonts w:eastAsia="Malgun Gothic"/>
                <w:bCs/>
                <w:lang w:eastAsia="zh-CN"/>
              </w:rPr>
              <w:t xml:space="preserve"> + 3ms + </w:t>
            </w:r>
            <w:r>
              <w:rPr>
                <w:bCs/>
              </w:rPr>
              <w:t>NM*(</w:t>
            </w:r>
            <w:r>
              <w:rPr>
                <w:rFonts w:eastAsiaTheme="minorEastAsia"/>
                <w:bCs/>
              </w:rPr>
              <w:t>T</w:t>
            </w:r>
            <w:r>
              <w:rPr>
                <w:rFonts w:eastAsiaTheme="minorEastAsia"/>
                <w:bCs/>
                <w:vertAlign w:val="subscript"/>
              </w:rPr>
              <w:t xml:space="preserve">first_target-PL-RS </w:t>
            </w:r>
            <w:r>
              <w:rPr>
                <w:rFonts w:eastAsiaTheme="minorEastAsia"/>
                <w:bCs/>
              </w:rPr>
              <w:t>+ 4</w:t>
            </w:r>
            <w:r>
              <w:rPr>
                <w:bCs/>
              </w:rPr>
              <w:t>*T</w:t>
            </w:r>
            <w:r>
              <w:rPr>
                <w:bCs/>
                <w:vertAlign w:val="subscript"/>
              </w:rPr>
              <w:t>target_PL-RS</w:t>
            </w:r>
            <w:r>
              <w:rPr>
                <w:vertAlign w:val="subscript"/>
              </w:rPr>
              <w:t xml:space="preserve"> </w:t>
            </w:r>
            <w:r>
              <w:rPr>
                <w:bCs/>
              </w:rPr>
              <w:t>+ 2ms)</w:t>
            </w:r>
          </w:p>
          <w:p>
            <w:pPr>
              <w:keepNext w:val="0"/>
              <w:keepLines w:val="0"/>
              <w:pageBreakBefore w:val="0"/>
              <w:widowControl w:val="0"/>
              <w:kinsoku/>
              <w:wordWrap/>
              <w:overflowPunct/>
              <w:topLinePunct w:val="0"/>
              <w:autoSpaceDE/>
              <w:autoSpaceDN/>
              <w:bidi w:val="0"/>
              <w:adjustRightInd/>
              <w:snapToGrid/>
              <w:ind w:firstLine="800" w:firstLineChars="400"/>
              <w:textAlignment w:val="auto"/>
              <w:rPr>
                <w:bCs/>
              </w:rPr>
            </w:pPr>
            <w:r>
              <w:rPr>
                <w:rFonts w:hint="eastAsia" w:eastAsiaTheme="minorEastAsia"/>
                <w:bCs/>
                <w:lang w:eastAsia="zh-CN"/>
              </w:rPr>
              <w:t>U</w:t>
            </w:r>
            <w:r>
              <w:rPr>
                <w:rFonts w:eastAsiaTheme="minorEastAsia"/>
                <w:bCs/>
              </w:rPr>
              <w:t xml:space="preserve">nknwn condition: </w:t>
            </w:r>
            <w:r>
              <w:rPr>
                <w:rFonts w:eastAsia="Malgun Gothic"/>
                <w:bCs/>
                <w:lang w:eastAsia="zh-CN"/>
              </w:rPr>
              <w:t>T</w:t>
            </w:r>
            <w:r>
              <w:rPr>
                <w:rFonts w:eastAsia="Malgun Gothic"/>
                <w:bCs/>
                <w:vertAlign w:val="subscript"/>
                <w:lang w:eastAsia="zh-CN"/>
              </w:rPr>
              <w:t>HARQ</w:t>
            </w:r>
            <w:r>
              <w:rPr>
                <w:rFonts w:eastAsia="Malgun Gothic"/>
                <w:bCs/>
                <w:lang w:eastAsia="zh-CN"/>
              </w:rPr>
              <w:t xml:space="preserve"> + 3ms + </w:t>
            </w:r>
            <w:r>
              <w:rPr>
                <w:bCs/>
                <w:lang w:eastAsia="en-GB"/>
              </w:rPr>
              <w:t>T</w:t>
            </w:r>
            <w:r>
              <w:rPr>
                <w:bCs/>
                <w:vertAlign w:val="subscript"/>
                <w:lang w:eastAsia="en-GB"/>
              </w:rPr>
              <w:t xml:space="preserve">L1-RSRP </w:t>
            </w:r>
            <w:r>
              <w:rPr>
                <w:rFonts w:eastAsia="Malgun Gothic"/>
                <w:bCs/>
                <w:lang w:eastAsia="zh-CN"/>
              </w:rPr>
              <w:t xml:space="preserve">+ </w:t>
            </w:r>
            <w:r>
              <w:rPr>
                <w:bCs/>
              </w:rPr>
              <w:t>(</w:t>
            </w:r>
            <w:r>
              <w:rPr>
                <w:rFonts w:eastAsiaTheme="minorEastAsia"/>
                <w:bCs/>
              </w:rPr>
              <w:t>T</w:t>
            </w:r>
            <w:r>
              <w:rPr>
                <w:rFonts w:eastAsiaTheme="minorEastAsia"/>
                <w:bCs/>
                <w:vertAlign w:val="subscript"/>
              </w:rPr>
              <w:t xml:space="preserve">first_target-PL-RS </w:t>
            </w:r>
            <w:r>
              <w:rPr>
                <w:rFonts w:eastAsiaTheme="minorEastAsia"/>
                <w:bCs/>
              </w:rPr>
              <w:t>+ 4</w:t>
            </w:r>
            <w:r>
              <w:rPr>
                <w:bCs/>
              </w:rPr>
              <w:t>*T</w:t>
            </w:r>
            <w:r>
              <w:rPr>
                <w:bCs/>
                <w:vertAlign w:val="subscript"/>
              </w:rPr>
              <w:t>target_PL-RS</w:t>
            </w:r>
            <w:r>
              <w:rPr>
                <w:vertAlign w:val="subscript"/>
              </w:rPr>
              <w:t xml:space="preserve"> </w:t>
            </w:r>
            <w:r>
              <w:rPr>
                <w:bCs/>
              </w:rPr>
              <w:t xml:space="preserve">+ 2ms) </w:t>
            </w:r>
          </w:p>
          <w:p>
            <w:pPr>
              <w:pStyle w:val="28"/>
              <w:keepNext w:val="0"/>
              <w:keepLines w:val="0"/>
              <w:pageBreakBefore w:val="0"/>
              <w:widowControl w:val="0"/>
              <w:numPr>
                <w:ilvl w:val="0"/>
                <w:numId w:val="11"/>
              </w:numPr>
              <w:kinsoku/>
              <w:wordWrap/>
              <w:overflowPunct/>
              <w:topLinePunct w:val="0"/>
              <w:autoSpaceDE/>
              <w:autoSpaceDN/>
              <w:bidi w:val="0"/>
              <w:adjustRightInd/>
              <w:snapToGrid/>
              <w:ind w:left="0" w:leftChars="0" w:firstLine="0" w:firstLineChars="0"/>
              <w:textAlignment w:val="auto"/>
              <w:rPr>
                <w:rFonts w:hint="default" w:eastAsia="宋体"/>
                <w:color w:val="auto"/>
                <w:sz w:val="21"/>
                <w:szCs w:val="21"/>
                <w:highlight w:val="none"/>
                <w:vertAlign w:val="baseline"/>
                <w:lang w:val="en-US" w:eastAsia="zh-CN"/>
              </w:rPr>
            </w:pPr>
            <w:r>
              <w:rPr>
                <w:rFonts w:ascii="Times New Roman" w:hAnsi="Times New Roman" w:eastAsia="Times New Roman" w:cs="Times New Roman"/>
                <w:kern w:val="0"/>
                <w:sz w:val="20"/>
                <w:szCs w:val="24"/>
                <w:lang w:val="sv-SE" w:eastAsia="zh-CN" w:bidi="ar-SA"/>
              </w:rPr>
              <w:t>Option 2: Reuse the existing MAC-CE based uplink spatial relation switching delay requirements</w:t>
            </w:r>
          </w:p>
        </w:tc>
      </w:tr>
    </w:tbl>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But the suggestions from different companies are still diverse during 101-e meeting, so further analysis is needed. We understand Option 1 is enhanced in two aspects: 1) The possibility of PL-RS switching is also taken into account in UL TCI switching delay; 2) Additionally given unknown case, similar as DL TCI state switching delay. </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Considering the necessity of enhancement 1). Firstly, for the sake of pathloss measurement robustness, the beam of PL-RS should be wider then other source RS, so the beam coverage of one PL-RS may include multiple UL TCI state, so the possibility of PL-RS switch happening is usually lower than that of UL TCI state switch. From this point of view, we believe enhancement 1) is not necessary. Further more, for PL-RS switch delay itself, according to the requirement in legacy Rel-16, the delay requirement is given as a very elastic range, i.e. no later than slot </w:t>
      </w:r>
      <w:r>
        <w:rPr>
          <w:i/>
          <w:sz w:val="20"/>
          <w:szCs w:val="20"/>
        </w:rPr>
        <w:t>n</w:t>
      </w:r>
      <w:r>
        <w:rPr>
          <w:sz w:val="20"/>
          <w:szCs w:val="20"/>
        </w:rPr>
        <w:t xml:space="preserve"> + </w:t>
      </w:r>
      <m:oMath>
        <m:sSub>
          <m:sSubPr>
            <m:ctrlPr>
              <w:rPr>
                <w:rFonts w:ascii="Cambria Math" w:hAnsi="Cambria Math"/>
                <w:sz w:val="20"/>
                <w:szCs w:val="20"/>
              </w:rPr>
            </m:ctrlPr>
          </m:sSubPr>
          <m:e>
            <m:r>
              <w:rPr>
                <w:rFonts w:ascii="Cambria Math" w:hAnsi="Cambria Math"/>
                <w:sz w:val="20"/>
                <w:szCs w:val="20"/>
              </w:rPr>
              <m:t>T</m:t>
            </m:r>
            <m:ctrlPr>
              <w:rPr>
                <w:rFonts w:ascii="Cambria Math" w:hAnsi="Cambria Math"/>
                <w:sz w:val="20"/>
                <w:szCs w:val="20"/>
              </w:rPr>
            </m:ctrlPr>
          </m:e>
          <m:sub>
            <m:r>
              <w:rPr>
                <w:rFonts w:ascii="Cambria Math" w:hAnsi="Cambria Math"/>
                <w:sz w:val="20"/>
                <w:szCs w:val="20"/>
              </w:rPr>
              <m:t>HARQ</m:t>
            </m:r>
            <m:ctrlPr>
              <w:rPr>
                <w:rFonts w:ascii="Cambria Math" w:hAnsi="Cambria Math"/>
                <w:sz w:val="20"/>
                <w:szCs w:val="20"/>
              </w:rPr>
            </m:ctrlPr>
          </m:sub>
        </m:sSub>
      </m:oMath>
      <w:r>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3ms + 5*</m:t>
                </m:r>
                <m:sSub>
                  <m:sSubPr>
                    <m:ctrlPr>
                      <w:rPr>
                        <w:rFonts w:ascii="Cambria Math" w:hAnsi="Cambria Math"/>
                        <w:sz w:val="20"/>
                        <w:szCs w:val="20"/>
                      </w:rPr>
                    </m:ctrlPr>
                  </m:sSubPr>
                  <m:e>
                    <m:r>
                      <w:rPr>
                        <w:rFonts w:ascii="Cambria Math" w:hAnsi="Cambria Math"/>
                        <w:sz w:val="20"/>
                        <w:szCs w:val="20"/>
                      </w:rPr>
                      <m:t>T</m:t>
                    </m:r>
                    <m:ctrlPr>
                      <w:rPr>
                        <w:rFonts w:ascii="Cambria Math" w:hAnsi="Cambria Math"/>
                        <w:sz w:val="20"/>
                        <w:szCs w:val="20"/>
                      </w:rPr>
                    </m:ctrlP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ctrlPr>
                      <w:rPr>
                        <w:rFonts w:ascii="Cambria Math" w:hAnsi="Cambria Math"/>
                        <w:sz w:val="20"/>
                        <w:szCs w:val="20"/>
                      </w:rPr>
                    </m:ctrlPr>
                  </m:sub>
                </m:sSub>
                <m:r>
                  <m:rPr>
                    <m:sty m:val="p"/>
                  </m:rPr>
                  <w:rPr>
                    <w:rFonts w:ascii="Cambria Math" w:hAnsi="Cambria Math"/>
                    <w:sz w:val="20"/>
                    <w:szCs w:val="20"/>
                  </w:rPr>
                  <m:t xml:space="preserve"> + 2ms</m:t>
                </m:r>
                <m:ctrlPr>
                  <w:rPr>
                    <w:rFonts w:ascii="Cambria Math" w:hAnsi="Cambria Math"/>
                    <w:sz w:val="20"/>
                    <w:szCs w:val="20"/>
                  </w:rPr>
                </m:ctrlP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ctrlPr>
                  <w:rPr>
                    <w:rFonts w:ascii="Cambria Math" w:hAnsi="Cambria Math"/>
                    <w:sz w:val="20"/>
                    <w:szCs w:val="20"/>
                  </w:rPr>
                </m:ctrlPr>
              </m:den>
            </m:f>
            <m:ctrlPr>
              <w:rPr>
                <w:rFonts w:ascii="Cambria Math" w:hAnsi="Cambria Math"/>
                <w:sz w:val="20"/>
                <w:szCs w:val="20"/>
              </w:rPr>
            </m:ctrlPr>
          </m:e>
        </m:d>
      </m:oMath>
      <w:r>
        <w:rPr>
          <w:rFonts w:hint="eastAsia" w:ascii="Cambria Math" w:hAnsi="Cambria Math" w:eastAsia="宋体"/>
          <w:i w:val="0"/>
          <w:sz w:val="20"/>
          <w:szCs w:val="20"/>
          <w:lang w:val="en-US" w:eastAsia="zh-CN"/>
        </w:rPr>
        <w:t xml:space="preserve"> </w:t>
      </w:r>
      <w:r>
        <w:rPr>
          <w:rFonts w:hint="eastAsia" w:eastAsia="宋体"/>
          <w:color w:val="auto"/>
          <w:sz w:val="21"/>
          <w:szCs w:val="21"/>
          <w:highlight w:val="none"/>
          <w:lang w:val="en-US" w:eastAsia="zh-CN"/>
        </w:rPr>
        <w:t>for known case. Actually if UE always maintain the target PL-RS, than once the MAC CE take effects, the target PL-RS can be applied, so eventually we believe enhancement 1) is not necessary.</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enhancement 2), whether need to determine UL TCI state switch delay in unknown case, which need further discussion.</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To sum up, we prefer Option 2.</w:t>
      </w:r>
    </w:p>
    <w:p>
      <w:pPr>
        <w:pStyle w:val="3"/>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7</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Considering the PL-RS switch is not as frequently as UL TCI state switch, and actually UE can always maintain target PL-RS, we prefer Option 2 for the case of separate UL TCI state switch. </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2.3 Requirements for PL-RS switching</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It has been approved that don</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t need to specify additional PL-RS switching delay requirement for beam alignment case during 101-e meeting. Consider for the MAC CE which can trigger PL-RS switch, we believe two possible MAC CE can trigger PL-RS switch. One is the MAC CE which oriented to trigger PL-RS switch, such as </w:t>
      </w:r>
      <w:bookmarkStart w:id="4" w:name="OLE_LINK152"/>
      <w:r>
        <w:rPr>
          <w:rFonts w:hint="eastAsia" w:eastAsia="宋体"/>
          <w:color w:val="auto"/>
          <w:sz w:val="21"/>
          <w:szCs w:val="21"/>
          <w:highlight w:val="none"/>
          <w:lang w:val="en-US" w:eastAsia="zh-CN"/>
        </w:rPr>
        <w:t>SRS PL RS Update MAC CE and PUSCH PL RS Update MAC CE</w:t>
      </w:r>
      <w:bookmarkEnd w:id="4"/>
      <w:r>
        <w:rPr>
          <w:rFonts w:hint="eastAsia" w:eastAsia="宋体"/>
          <w:color w:val="auto"/>
          <w:sz w:val="21"/>
          <w:szCs w:val="21"/>
          <w:highlight w:val="none"/>
          <w:lang w:val="en-US" w:eastAsia="zh-CN"/>
        </w:rPr>
        <w:t>. The other is the UL TCI state switching MAC CE, which simultaneously indicates the UL TCI state switch and PL-RS switch, when the PL-RS of target UL TCI state is different with the PL-RS of old UL TCI state. For the latter case, whether UL TCI state switching requirements can be re-used for PL-RS switching delay, which should be discussed.</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As our analysis in last section, the PL-RS should be wide-beam coverage, and should not update as frequently as UL TCI state switch, so we can obtain the assumption that UE always maintain the target PL-RS for the latter case. Based on such assumption, we believe the UL TCI state switching requirements can be re-used for PL-RS switching delay if UL TCI state switching can trigger PL-RS switch.</w:t>
      </w:r>
    </w:p>
    <w:p>
      <w:pPr>
        <w:pStyle w:val="3"/>
        <w:rPr>
          <w:rFonts w:hint="default" w:eastAsia="宋体"/>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8</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Based on the assumption that UE can always maintain the target PL-RS for the case of UL TCI state switch triggering PL-RS switch, we support re-using the UL TCI state switching requirements as PL-RS switching requirements.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unified TCI state</w:t>
      </w:r>
      <w:r>
        <w:rPr>
          <w:rFonts w:eastAsia="宋体"/>
          <w:bCs/>
          <w:color w:val="auto"/>
          <w:sz w:val="21"/>
          <w:szCs w:val="21"/>
          <w:lang w:val="en-GB" w:eastAsia="zh-CN"/>
        </w:rPr>
        <w:t>:</w:t>
      </w:r>
    </w:p>
    <w:p>
      <w:pPr>
        <w:pStyle w:val="3"/>
        <w:rPr>
          <w:rFonts w:hint="eastAsia" w:eastAsia="宋体"/>
          <w:b/>
          <w:bCs/>
          <w:color w:val="auto"/>
          <w:sz w:val="21"/>
          <w:szCs w:val="21"/>
          <w:highlight w:val="lightGray"/>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targets of Option 1 and Option 2 are same, considering Option 1 is aligned with RAN1</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conclusion and in line with RAN4</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definition habit, we prefer Option 1.</w:t>
      </w:r>
    </w:p>
    <w:p>
      <w:pPr>
        <w:pStyle w:val="3"/>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For joint TCI switch, for the case of different SCS between PDSCH/PDCCH and PUSCH/PUCCH/SRS, it should be determined which SCS is used to count Y. </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separate TCI switch with a pair of DL TCI and UL TCI, whether the case of only one of the two target TCI states is known allowed, which should be determined.</w:t>
      </w:r>
    </w:p>
    <w:p>
      <w:pPr>
        <w:pStyle w:val="3"/>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Considering for applying the unified TCI state in intra-band CA case, still reuse the existing known condition is enough, not need to update the known condition.</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For simplicity, using Option 2 for both joint mode and separate mode can be tradeoff.</w:t>
      </w:r>
      <w:r>
        <w:rPr>
          <w:rFonts w:hint="eastAsia" w:eastAsia="宋体" w:cs="Times New Roman"/>
          <w:b/>
          <w:bCs/>
          <w:color w:val="auto"/>
          <w:sz w:val="21"/>
          <w:szCs w:val="21"/>
          <w:highlight w:val="none"/>
          <w:lang w:val="en-US" w:eastAsia="zh-CN" w:bidi="ar-SA"/>
        </w:rPr>
        <w:t xml:space="preserve"> </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6</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For separate mode with DL and UL TCI state switch delay, we also prefer to using Option 2.</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7</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Considering the PL-RS switch is not as frequently as UL TCI state switch, and actually UE can always maintain target PL-RS, we prefer Option 2 for the case of separate UL TCI state switch. </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8</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Based on the assumption that UE can always maintain the target PL-RS for the case of UL TCI state switch triggering PL-RS switch, we support re-using the UL TCI state switching requirements as PL-RS switching requirements.</w:t>
      </w:r>
      <w:bookmarkStart w:id="5" w:name="_GoBack"/>
      <w:bookmarkEnd w:id="5"/>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rPr>
          <w:rFonts w:hint="default" w:eastAsia="宋体"/>
          <w:color w:val="auto"/>
          <w:highlight w:val="none"/>
          <w:lang w:val="en-US" w:eastAsia="zh-CN"/>
        </w:rPr>
      </w:pPr>
      <w:r>
        <w:rPr>
          <w:rFonts w:hint="eastAsia"/>
          <w:color w:val="auto"/>
          <w:highlight w:val="none"/>
          <w:lang w:val="en-US" w:eastAsia="zh-CN"/>
        </w:rPr>
        <w:t xml:space="preserve">R4-2120320, </w:t>
      </w:r>
      <w:r>
        <w:rPr>
          <w:rFonts w:hint="default"/>
          <w:color w:val="auto"/>
          <w:highlight w:val="none"/>
          <w:lang w:val="en-US" w:eastAsia="zh-CN"/>
        </w:rPr>
        <w:t>“</w:t>
      </w:r>
      <w:r>
        <w:rPr>
          <w:rFonts w:hint="eastAsia"/>
          <w:color w:val="auto"/>
          <w:highlight w:val="none"/>
          <w:lang w:val="en-US" w:eastAsia="zh-CN"/>
        </w:rPr>
        <w:t>WF on RRM impact for unified TCI in FeMIMO</w:t>
      </w:r>
      <w:r>
        <w:rPr>
          <w:rFonts w:hint="default"/>
          <w:color w:val="auto"/>
          <w:highlight w:val="none"/>
          <w:lang w:val="en-US" w:eastAsia="zh-CN"/>
        </w:rPr>
        <w:t>”</w:t>
      </w:r>
      <w:r>
        <w:rPr>
          <w:rFonts w:hint="eastAsia"/>
          <w:color w:val="auto"/>
          <w:highlight w:val="none"/>
          <w:lang w:val="en-US" w:eastAsia="zh-CN"/>
        </w:rPr>
        <w:t xml:space="preserve">, Intel.   </w:t>
      </w:r>
    </w:p>
    <w:p>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Gulim">
    <w:panose1 w:val="020B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57481B"/>
    <w:multiLevelType w:val="singleLevel"/>
    <w:tmpl w:val="C957481B"/>
    <w:lvl w:ilvl="0" w:tentative="0">
      <w:start w:val="1"/>
      <w:numFmt w:val="bullet"/>
      <w:lvlText w:val=""/>
      <w:lvlJc w:val="left"/>
      <w:pPr>
        <w:ind w:left="420" w:hanging="420"/>
      </w:pPr>
      <w:rPr>
        <w:rFonts w:hint="default" w:ascii="Wingdings" w:hAnsi="Wingdings"/>
      </w:rPr>
    </w:lvl>
  </w:abstractNum>
  <w:abstractNum w:abstractNumId="1">
    <w:nsid w:val="FC3B4A20"/>
    <w:multiLevelType w:val="singleLevel"/>
    <w:tmpl w:val="FC3B4A20"/>
    <w:lvl w:ilvl="0" w:tentative="0">
      <w:start w:val="1"/>
      <w:numFmt w:val="bullet"/>
      <w:lvlText w:val=""/>
      <w:lvlJc w:val="left"/>
      <w:pPr>
        <w:ind w:left="420" w:hanging="420"/>
      </w:pPr>
      <w:rPr>
        <w:rFonts w:hint="default" w:ascii="Wingdings" w:hAnsi="Wingdings"/>
      </w:rPr>
    </w:lvl>
  </w:abstractNum>
  <w:abstractNum w:abstractNumId="2">
    <w:nsid w:val="0C0F246D"/>
    <w:multiLevelType w:val="singleLevel"/>
    <w:tmpl w:val="0C0F246D"/>
    <w:lvl w:ilvl="0" w:tentative="0">
      <w:start w:val="1"/>
      <w:numFmt w:val="bullet"/>
      <w:lvlText w:val=""/>
      <w:lvlJc w:val="left"/>
      <w:pPr>
        <w:tabs>
          <w:tab w:val="left" w:pos="420"/>
        </w:tabs>
        <w:ind w:left="84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D923082"/>
    <w:multiLevelType w:val="multilevel"/>
    <w:tmpl w:val="1D9230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3140F1"/>
    <w:multiLevelType w:val="multilevel"/>
    <w:tmpl w:val="253140F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微软雅黑" w:hAnsi="微软雅黑"/>
      </w:rPr>
    </w:lvl>
    <w:lvl w:ilvl="2" w:tentative="0">
      <w:start w:val="1"/>
      <w:numFmt w:val="bullet"/>
      <w:lvlText w:val=""/>
      <w:lvlJc w:val="left"/>
      <w:pPr>
        <w:tabs>
          <w:tab w:val="left" w:pos="1260"/>
        </w:tabs>
        <w:ind w:left="1680" w:leftChars="0" w:hanging="420" w:firstLineChars="0"/>
      </w:pPr>
      <w:rPr>
        <w:rFonts w:hint="default" w:ascii="微软雅黑" w:hAnsi="微软雅黑"/>
      </w:rPr>
    </w:lvl>
    <w:lvl w:ilvl="3" w:tentative="0">
      <w:start w:val="1"/>
      <w:numFmt w:val="bullet"/>
      <w:lvlText w:val=""/>
      <w:lvlJc w:val="left"/>
      <w:pPr>
        <w:tabs>
          <w:tab w:val="left" w:pos="1680"/>
        </w:tabs>
        <w:ind w:left="2100" w:leftChars="0" w:hanging="420" w:firstLineChars="0"/>
      </w:pPr>
      <w:rPr>
        <w:rFonts w:hint="default" w:ascii="微软雅黑" w:hAnsi="微软雅黑"/>
      </w:rPr>
    </w:lvl>
    <w:lvl w:ilvl="4" w:tentative="0">
      <w:start w:val="1"/>
      <w:numFmt w:val="bullet"/>
      <w:lvlText w:val=""/>
      <w:lvlJc w:val="left"/>
      <w:pPr>
        <w:tabs>
          <w:tab w:val="left" w:pos="2100"/>
        </w:tabs>
        <w:ind w:left="2520" w:leftChars="0" w:hanging="420" w:firstLineChars="0"/>
      </w:pPr>
      <w:rPr>
        <w:rFonts w:hint="default" w:ascii="微软雅黑" w:hAnsi="微软雅黑"/>
      </w:rPr>
    </w:lvl>
    <w:lvl w:ilvl="5" w:tentative="0">
      <w:start w:val="1"/>
      <w:numFmt w:val="bullet"/>
      <w:lvlText w:val=""/>
      <w:lvlJc w:val="left"/>
      <w:pPr>
        <w:tabs>
          <w:tab w:val="left" w:pos="2520"/>
        </w:tabs>
        <w:ind w:left="2940" w:leftChars="0" w:hanging="420" w:firstLineChars="0"/>
      </w:pPr>
      <w:rPr>
        <w:rFonts w:hint="default" w:ascii="微软雅黑" w:hAnsi="微软雅黑"/>
      </w:rPr>
    </w:lvl>
    <w:lvl w:ilvl="6" w:tentative="0">
      <w:start w:val="1"/>
      <w:numFmt w:val="bullet"/>
      <w:lvlText w:val=""/>
      <w:lvlJc w:val="left"/>
      <w:pPr>
        <w:tabs>
          <w:tab w:val="left" w:pos="2940"/>
        </w:tabs>
        <w:ind w:left="3360" w:leftChars="0" w:hanging="420" w:firstLineChars="0"/>
      </w:pPr>
      <w:rPr>
        <w:rFonts w:hint="default" w:ascii="微软雅黑" w:hAnsi="微软雅黑"/>
      </w:rPr>
    </w:lvl>
    <w:lvl w:ilvl="7" w:tentative="0">
      <w:start w:val="1"/>
      <w:numFmt w:val="bullet"/>
      <w:lvlText w:val=""/>
      <w:lvlJc w:val="left"/>
      <w:pPr>
        <w:tabs>
          <w:tab w:val="left" w:pos="3360"/>
        </w:tabs>
        <w:ind w:left="3780" w:leftChars="0" w:hanging="420" w:firstLineChars="0"/>
      </w:pPr>
      <w:rPr>
        <w:rFonts w:hint="default" w:ascii="微软雅黑" w:hAnsi="微软雅黑"/>
      </w:rPr>
    </w:lvl>
    <w:lvl w:ilvl="8" w:tentative="0">
      <w:start w:val="1"/>
      <w:numFmt w:val="bullet"/>
      <w:lvlText w:val=""/>
      <w:lvlJc w:val="left"/>
      <w:pPr>
        <w:tabs>
          <w:tab w:val="left" w:pos="3780"/>
        </w:tabs>
        <w:ind w:left="4200" w:leftChars="0" w:hanging="420" w:firstLineChars="0"/>
      </w:pPr>
      <w:rPr>
        <w:rFonts w:hint="default" w:ascii="微软雅黑" w:hAnsi="微软雅黑"/>
      </w:rPr>
    </w:lvl>
  </w:abstractNum>
  <w:abstractNum w:abstractNumId="6">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9">
    <w:nsid w:val="67267C66"/>
    <w:multiLevelType w:val="multilevel"/>
    <w:tmpl w:val="67267C66"/>
    <w:lvl w:ilvl="0" w:tentative="0">
      <w:start w:val="1"/>
      <w:numFmt w:val="bullet"/>
      <w:lvlText w:val=""/>
      <w:lvlJc w:val="left"/>
      <w:pPr>
        <w:tabs>
          <w:tab w:val="left" w:pos="840"/>
        </w:tabs>
        <w:ind w:left="1200" w:hanging="360"/>
      </w:pPr>
      <w:rPr>
        <w:rFonts w:hint="default" w:ascii="Symbol" w:hAnsi="Symbol"/>
      </w:rPr>
    </w:lvl>
    <w:lvl w:ilvl="1" w:tentative="0">
      <w:start w:val="1"/>
      <w:numFmt w:val="bullet"/>
      <w:lvlText w:val="o"/>
      <w:lvlJc w:val="left"/>
      <w:pPr>
        <w:tabs>
          <w:tab w:val="left" w:pos="840"/>
        </w:tabs>
        <w:ind w:left="1920" w:hanging="360"/>
      </w:pPr>
      <w:rPr>
        <w:rFonts w:hint="default" w:ascii="Courier New" w:hAnsi="Courier New" w:cs="Courier New"/>
      </w:rPr>
    </w:lvl>
    <w:lvl w:ilvl="2" w:tentative="0">
      <w:start w:val="1"/>
      <w:numFmt w:val="bullet"/>
      <w:lvlText w:val=""/>
      <w:lvlJc w:val="left"/>
      <w:pPr>
        <w:tabs>
          <w:tab w:val="left" w:pos="840"/>
        </w:tabs>
        <w:ind w:left="2640" w:hanging="360"/>
      </w:pPr>
      <w:rPr>
        <w:rFonts w:hint="default" w:ascii="Wingdings" w:hAnsi="Wingdings"/>
      </w:rPr>
    </w:lvl>
    <w:lvl w:ilvl="3" w:tentative="0">
      <w:start w:val="1"/>
      <w:numFmt w:val="bullet"/>
      <w:lvlText w:val=""/>
      <w:lvlJc w:val="left"/>
      <w:pPr>
        <w:tabs>
          <w:tab w:val="left" w:pos="840"/>
        </w:tabs>
        <w:ind w:left="3360" w:hanging="360"/>
      </w:pPr>
      <w:rPr>
        <w:rFonts w:hint="default" w:ascii="Symbol" w:hAnsi="Symbol"/>
      </w:rPr>
    </w:lvl>
    <w:lvl w:ilvl="4" w:tentative="0">
      <w:start w:val="1"/>
      <w:numFmt w:val="bullet"/>
      <w:lvlText w:val="o"/>
      <w:lvlJc w:val="left"/>
      <w:pPr>
        <w:tabs>
          <w:tab w:val="left" w:pos="840"/>
        </w:tabs>
        <w:ind w:left="4080" w:hanging="360"/>
      </w:pPr>
      <w:rPr>
        <w:rFonts w:hint="default" w:ascii="Courier New" w:hAnsi="Courier New" w:cs="Courier New"/>
      </w:rPr>
    </w:lvl>
    <w:lvl w:ilvl="5" w:tentative="0">
      <w:start w:val="1"/>
      <w:numFmt w:val="bullet"/>
      <w:lvlText w:val=""/>
      <w:lvlJc w:val="left"/>
      <w:pPr>
        <w:tabs>
          <w:tab w:val="left" w:pos="840"/>
        </w:tabs>
        <w:ind w:left="4800" w:hanging="360"/>
      </w:pPr>
      <w:rPr>
        <w:rFonts w:hint="default" w:ascii="Wingdings" w:hAnsi="Wingdings"/>
      </w:rPr>
    </w:lvl>
    <w:lvl w:ilvl="6" w:tentative="0">
      <w:start w:val="1"/>
      <w:numFmt w:val="bullet"/>
      <w:lvlText w:val=""/>
      <w:lvlJc w:val="left"/>
      <w:pPr>
        <w:tabs>
          <w:tab w:val="left" w:pos="840"/>
        </w:tabs>
        <w:ind w:left="5520" w:hanging="360"/>
      </w:pPr>
      <w:rPr>
        <w:rFonts w:hint="default" w:ascii="Symbol" w:hAnsi="Symbol"/>
      </w:rPr>
    </w:lvl>
    <w:lvl w:ilvl="7" w:tentative="0">
      <w:start w:val="1"/>
      <w:numFmt w:val="bullet"/>
      <w:lvlText w:val="o"/>
      <w:lvlJc w:val="left"/>
      <w:pPr>
        <w:tabs>
          <w:tab w:val="left" w:pos="840"/>
        </w:tabs>
        <w:ind w:left="6240" w:hanging="360"/>
      </w:pPr>
      <w:rPr>
        <w:rFonts w:hint="default" w:ascii="Courier New" w:hAnsi="Courier New" w:cs="Courier New"/>
      </w:rPr>
    </w:lvl>
    <w:lvl w:ilvl="8" w:tentative="0">
      <w:start w:val="1"/>
      <w:numFmt w:val="bullet"/>
      <w:lvlText w:val=""/>
      <w:lvlJc w:val="left"/>
      <w:pPr>
        <w:tabs>
          <w:tab w:val="left" w:pos="840"/>
        </w:tabs>
        <w:ind w:left="6960" w:hanging="360"/>
      </w:pPr>
      <w:rPr>
        <w:rFonts w:hint="default" w:ascii="Wingdings" w:hAnsi="Wingdings"/>
      </w:rPr>
    </w:lvl>
  </w:abstractNum>
  <w:abstractNum w:abstractNumId="10">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7"/>
  </w:num>
  <w:num w:numId="3">
    <w:abstractNumId w:val="3"/>
  </w:num>
  <w:num w:numId="4">
    <w:abstractNumId w:val="5"/>
  </w:num>
  <w:num w:numId="5">
    <w:abstractNumId w:val="9"/>
  </w:num>
  <w:num w:numId="6">
    <w:abstractNumId w:val="6"/>
  </w:num>
  <w:num w:numId="7">
    <w:abstractNumId w:val="2"/>
  </w:num>
  <w:num w:numId="8">
    <w:abstractNumId w:val="8"/>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4F447C1"/>
    <w:rsid w:val="05123449"/>
    <w:rsid w:val="05C42923"/>
    <w:rsid w:val="05E724AA"/>
    <w:rsid w:val="07CD3CDD"/>
    <w:rsid w:val="0855671D"/>
    <w:rsid w:val="09716BCA"/>
    <w:rsid w:val="09AD4F9D"/>
    <w:rsid w:val="09E644B8"/>
    <w:rsid w:val="0BB0429A"/>
    <w:rsid w:val="0CB97ACD"/>
    <w:rsid w:val="0DBB01ED"/>
    <w:rsid w:val="0E8A2AC7"/>
    <w:rsid w:val="0EC815B9"/>
    <w:rsid w:val="0F446A2E"/>
    <w:rsid w:val="0F5F76E0"/>
    <w:rsid w:val="0F644A12"/>
    <w:rsid w:val="0F7F19AF"/>
    <w:rsid w:val="14773990"/>
    <w:rsid w:val="1481754F"/>
    <w:rsid w:val="148A67E1"/>
    <w:rsid w:val="148F5721"/>
    <w:rsid w:val="14AC57CD"/>
    <w:rsid w:val="164514BE"/>
    <w:rsid w:val="170F06AA"/>
    <w:rsid w:val="180A6E32"/>
    <w:rsid w:val="183F2CD2"/>
    <w:rsid w:val="18CD0507"/>
    <w:rsid w:val="1AD01A1B"/>
    <w:rsid w:val="1B2E6DFA"/>
    <w:rsid w:val="1B7B4E35"/>
    <w:rsid w:val="1C177B08"/>
    <w:rsid w:val="1C4E28F6"/>
    <w:rsid w:val="1C9001C6"/>
    <w:rsid w:val="1CBA2101"/>
    <w:rsid w:val="1D0573D7"/>
    <w:rsid w:val="1D0B674C"/>
    <w:rsid w:val="1D153DC4"/>
    <w:rsid w:val="1D223E0B"/>
    <w:rsid w:val="1D2B14A2"/>
    <w:rsid w:val="1E853F6F"/>
    <w:rsid w:val="1EB32AA2"/>
    <w:rsid w:val="1ECC1E3C"/>
    <w:rsid w:val="1FDA0E82"/>
    <w:rsid w:val="20371001"/>
    <w:rsid w:val="21244EB1"/>
    <w:rsid w:val="21F13629"/>
    <w:rsid w:val="24122135"/>
    <w:rsid w:val="258F4033"/>
    <w:rsid w:val="25932BF9"/>
    <w:rsid w:val="265B50B5"/>
    <w:rsid w:val="26AE2CCC"/>
    <w:rsid w:val="26BB1419"/>
    <w:rsid w:val="281C12F4"/>
    <w:rsid w:val="29553F3A"/>
    <w:rsid w:val="29A05E8C"/>
    <w:rsid w:val="2A3916E1"/>
    <w:rsid w:val="2A7E505C"/>
    <w:rsid w:val="2B471816"/>
    <w:rsid w:val="2B954C89"/>
    <w:rsid w:val="2BA1692B"/>
    <w:rsid w:val="2BC05B2C"/>
    <w:rsid w:val="2BD617C5"/>
    <w:rsid w:val="2C112837"/>
    <w:rsid w:val="2CC146D3"/>
    <w:rsid w:val="2F2F0FC8"/>
    <w:rsid w:val="301C6BB6"/>
    <w:rsid w:val="31437A9E"/>
    <w:rsid w:val="31B14C9E"/>
    <w:rsid w:val="34471EEA"/>
    <w:rsid w:val="34F80A7B"/>
    <w:rsid w:val="35B06C6A"/>
    <w:rsid w:val="36D37423"/>
    <w:rsid w:val="38726558"/>
    <w:rsid w:val="3A185287"/>
    <w:rsid w:val="3A692CD0"/>
    <w:rsid w:val="3B3B2DF3"/>
    <w:rsid w:val="3B673620"/>
    <w:rsid w:val="3B6968C8"/>
    <w:rsid w:val="3B9A1F29"/>
    <w:rsid w:val="3C6D5868"/>
    <w:rsid w:val="3CE4646B"/>
    <w:rsid w:val="3D5E7AA8"/>
    <w:rsid w:val="3D6F2596"/>
    <w:rsid w:val="401B3A6B"/>
    <w:rsid w:val="405F175E"/>
    <w:rsid w:val="40C765F3"/>
    <w:rsid w:val="42F869D2"/>
    <w:rsid w:val="43553536"/>
    <w:rsid w:val="44C443CD"/>
    <w:rsid w:val="44F46037"/>
    <w:rsid w:val="451632B9"/>
    <w:rsid w:val="453954E9"/>
    <w:rsid w:val="45F60A50"/>
    <w:rsid w:val="46B036BF"/>
    <w:rsid w:val="47282363"/>
    <w:rsid w:val="49E55BC5"/>
    <w:rsid w:val="4A796308"/>
    <w:rsid w:val="4C1C63D6"/>
    <w:rsid w:val="4C864A35"/>
    <w:rsid w:val="4D321410"/>
    <w:rsid w:val="4E015C76"/>
    <w:rsid w:val="4E4A2325"/>
    <w:rsid w:val="501A6C55"/>
    <w:rsid w:val="50E3745A"/>
    <w:rsid w:val="519A6ACC"/>
    <w:rsid w:val="51B14BED"/>
    <w:rsid w:val="52280006"/>
    <w:rsid w:val="525C1CEF"/>
    <w:rsid w:val="52F41789"/>
    <w:rsid w:val="53C64B93"/>
    <w:rsid w:val="53F07453"/>
    <w:rsid w:val="55B1164D"/>
    <w:rsid w:val="55B4735E"/>
    <w:rsid w:val="56371459"/>
    <w:rsid w:val="56875C1B"/>
    <w:rsid w:val="59DA647E"/>
    <w:rsid w:val="5A556E1A"/>
    <w:rsid w:val="5BB306CC"/>
    <w:rsid w:val="5D8941DA"/>
    <w:rsid w:val="5D982E42"/>
    <w:rsid w:val="5EB44FC0"/>
    <w:rsid w:val="5FBA395F"/>
    <w:rsid w:val="62B047E1"/>
    <w:rsid w:val="635902CD"/>
    <w:rsid w:val="64706BBE"/>
    <w:rsid w:val="64F2095B"/>
    <w:rsid w:val="66770492"/>
    <w:rsid w:val="67052A96"/>
    <w:rsid w:val="671A4BC2"/>
    <w:rsid w:val="67A858DB"/>
    <w:rsid w:val="691B180A"/>
    <w:rsid w:val="691F2D87"/>
    <w:rsid w:val="69A833BD"/>
    <w:rsid w:val="6DDE3DAF"/>
    <w:rsid w:val="6DE05144"/>
    <w:rsid w:val="6F160B9A"/>
    <w:rsid w:val="6FE94925"/>
    <w:rsid w:val="70540BC6"/>
    <w:rsid w:val="70814FA6"/>
    <w:rsid w:val="715F4C2D"/>
    <w:rsid w:val="72BF60CA"/>
    <w:rsid w:val="7522275B"/>
    <w:rsid w:val="752872FE"/>
    <w:rsid w:val="753811DE"/>
    <w:rsid w:val="75BE67D4"/>
    <w:rsid w:val="75C759C1"/>
    <w:rsid w:val="762D64F3"/>
    <w:rsid w:val="775B4604"/>
    <w:rsid w:val="77C067C3"/>
    <w:rsid w:val="77C6011D"/>
    <w:rsid w:val="78141A2A"/>
    <w:rsid w:val="78911E31"/>
    <w:rsid w:val="7A076CB0"/>
    <w:rsid w:val="7A9367CB"/>
    <w:rsid w:val="7AEC3E2E"/>
    <w:rsid w:val="7AF22571"/>
    <w:rsid w:val="7C1C35A7"/>
    <w:rsid w:val="7C45431D"/>
    <w:rsid w:val="7C5B0E57"/>
    <w:rsid w:val="7C855657"/>
    <w:rsid w:val="7CE6742C"/>
    <w:rsid w:val="7DDD0501"/>
    <w:rsid w:val="7E3C78E6"/>
    <w:rsid w:val="7E6C2D77"/>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1"/>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3"/>
    <w:qFormat/>
    <w:uiPriority w:val="0"/>
    <w:pPr>
      <w:spacing w:after="120"/>
      <w:jc w:val="both"/>
    </w:pPr>
    <w:rPr>
      <w:rFonts w:eastAsia="MS Mincho"/>
      <w:lang w:val="zh-CN"/>
    </w:r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29"/>
    <w:semiHidden/>
    <w:unhideWhenUsed/>
    <w:qFormat/>
    <w:uiPriority w:val="99"/>
    <w:rPr>
      <w:rFonts w:ascii="宋体" w:eastAsia="宋体"/>
      <w:sz w:val="18"/>
      <w:szCs w:val="18"/>
    </w:rPr>
  </w:style>
  <w:style w:type="paragraph" w:styleId="11">
    <w:name w:val="annotation text"/>
    <w:basedOn w:val="1"/>
    <w:semiHidden/>
    <w:unhideWhenUsed/>
    <w:qFormat/>
    <w:uiPriority w:val="99"/>
    <w:pPr>
      <w:jc w:val="left"/>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10"/>
    <w:semiHidden/>
    <w:qFormat/>
    <w:uiPriority w:val="99"/>
    <w:rPr>
      <w:rFonts w:ascii="宋体" w:hAnsi="Times New Roman"/>
      <w:sz w:val="18"/>
      <w:szCs w:val="18"/>
      <w:lang w:eastAsia="en-US"/>
    </w:rPr>
  </w:style>
  <w:style w:type="paragraph" w:customStyle="1" w:styleId="30">
    <w:name w:val="B1"/>
    <w:basedOn w:val="8"/>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9"/>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aragraph"/>
    <w:basedOn w:val="1"/>
    <w:qFormat/>
    <w:uiPriority w:val="0"/>
    <w:pPr>
      <w:spacing w:before="100" w:beforeAutospacing="1" w:after="100" w:afterAutospacing="1"/>
    </w:pPr>
    <w:rPr>
      <w:rFonts w:eastAsia="Times New Roman"/>
      <w:sz w:val="24"/>
      <w:szCs w:val="24"/>
    </w:rPr>
  </w:style>
  <w:style w:type="character" w:customStyle="1" w:styleId="53">
    <w:name w:val="normaltextrun"/>
    <w:basedOn w:val="19"/>
    <w:qFormat/>
    <w:uiPriority w:val="0"/>
  </w:style>
  <w:style w:type="paragraph" w:customStyle="1" w:styleId="54">
    <w:name w:val="B2"/>
    <w:basedOn w:val="7"/>
    <w:qFormat/>
    <w:uiPriority w:val="0"/>
  </w:style>
  <w:style w:type="paragraph" w:customStyle="1" w:styleId="55">
    <w:name w:val="B3"/>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7</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2022-01-10T02:44:40Z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